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0C8C2E">
      <w:pPr>
        <w:pStyle w:val="3"/>
        <w:ind w:right="-94" w:rightChars="-45"/>
        <w:jc w:val="center"/>
        <w:rPr>
          <w:rFonts w:ascii="Times New Roman" w:hAnsi="Times New Roman" w:cs="Times New Roman"/>
          <w:b/>
          <w:bCs/>
          <w:sz w:val="36"/>
          <w:szCs w:val="36"/>
        </w:rPr>
      </w:pPr>
    </w:p>
    <w:p w14:paraId="6B387906">
      <w:pPr>
        <w:pStyle w:val="3"/>
        <w:ind w:right="-94" w:rightChars="-45"/>
        <w:jc w:val="center"/>
        <w:rPr>
          <w:rFonts w:hint="eastAsia" w:ascii="Times New Roman" w:hAnsi="Times New Roman" w:cs="Times New Roman"/>
          <w:b/>
          <w:bCs/>
          <w:sz w:val="36"/>
          <w:szCs w:val="36"/>
        </w:rPr>
      </w:pPr>
      <w:r>
        <w:rPr>
          <w:rFonts w:hint="eastAsia" w:ascii="Times New Roman" w:hAnsi="Times New Roman" w:cs="Times New Roman"/>
          <w:b/>
          <w:bCs/>
          <w:sz w:val="36"/>
          <w:szCs w:val="36"/>
        </w:rPr>
        <w:t>RAD-S102 series radiation detection probes</w:t>
      </w:r>
    </w:p>
    <w:p w14:paraId="23F173D8">
      <w:pPr>
        <w:pStyle w:val="3"/>
        <w:ind w:right="-94" w:rightChars="-45"/>
        <w:jc w:val="center"/>
        <w:rPr>
          <w:rFonts w:hint="eastAsia" w:ascii="Times New Roman" w:hAnsi="Times New Roman" w:cs="Times New Roman"/>
          <w:b/>
          <w:bCs/>
          <w:sz w:val="36"/>
          <w:szCs w:val="36"/>
        </w:rPr>
      </w:pPr>
    </w:p>
    <w:p w14:paraId="28320772">
      <w:pPr>
        <w:pStyle w:val="3"/>
        <w:ind w:right="-94" w:rightChars="-45"/>
        <w:jc w:val="center"/>
        <w:rPr>
          <w:rFonts w:hint="eastAsia" w:ascii="Times New Roman" w:hAnsi="Times New Roman" w:cs="Times New Roman"/>
          <w:b/>
          <w:bCs/>
          <w:sz w:val="36"/>
          <w:szCs w:val="36"/>
        </w:rPr>
      </w:pPr>
      <w:r>
        <w:rPr>
          <w:rFonts w:hint="eastAsia" w:ascii="Times New Roman" w:hAnsi="Times New Roman" w:cs="Times New Roman"/>
          <w:color w:val="333333"/>
          <w:sz w:val="24"/>
          <w:szCs w:val="24"/>
          <w:shd w:val="clear" w:color="auto" w:fill="FFFFFF"/>
          <w:lang w:eastAsia="zh-CN"/>
        </w:rPr>
        <w:drawing>
          <wp:anchor distT="0" distB="0" distL="114300" distR="114300" simplePos="0" relativeHeight="251659264" behindDoc="0" locked="0" layoutInCell="1" allowOverlap="1">
            <wp:simplePos x="0" y="0"/>
            <wp:positionH relativeFrom="column">
              <wp:posOffset>1560195</wp:posOffset>
            </wp:positionH>
            <wp:positionV relativeFrom="paragraph">
              <wp:posOffset>203835</wp:posOffset>
            </wp:positionV>
            <wp:extent cx="1345565" cy="3101975"/>
            <wp:effectExtent l="0" t="0" r="0" b="3175"/>
            <wp:wrapNone/>
            <wp:docPr id="1" name="图片 1" descr="DSC_02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SC_0241"/>
                    <pic:cNvPicPr>
                      <a:picLocks noChangeAspect="1"/>
                    </pic:cNvPicPr>
                  </pic:nvPicPr>
                  <pic:blipFill>
                    <a:blip r:embed="rId6"/>
                    <a:srcRect l="16783" t="5899" r="25987" b="6244"/>
                    <a:stretch>
                      <a:fillRect/>
                    </a:stretch>
                  </pic:blipFill>
                  <pic:spPr>
                    <a:xfrm>
                      <a:off x="0" y="0"/>
                      <a:ext cx="1345565" cy="3101975"/>
                    </a:xfrm>
                    <a:prstGeom prst="rect">
                      <a:avLst/>
                    </a:prstGeom>
                  </pic:spPr>
                </pic:pic>
              </a:graphicData>
            </a:graphic>
          </wp:anchor>
        </w:drawing>
      </w:r>
    </w:p>
    <w:p w14:paraId="76B0FB37">
      <w:pPr>
        <w:pStyle w:val="3"/>
        <w:ind w:right="-94" w:rightChars="-45"/>
        <w:jc w:val="center"/>
        <w:rPr>
          <w:rFonts w:hint="eastAsia" w:ascii="Times New Roman" w:hAnsi="Times New Roman" w:cs="Times New Roman"/>
          <w:b/>
          <w:bCs/>
          <w:sz w:val="36"/>
          <w:szCs w:val="36"/>
        </w:rPr>
      </w:pPr>
      <w:r>
        <w:rPr>
          <w:rFonts w:hint="eastAsia"/>
          <w:lang w:val="en-US" w:eastAsia="zh-CN"/>
        </w:rPr>
        <w:t xml:space="preserve">                                                      </w:t>
      </w:r>
      <w:r>
        <w:drawing>
          <wp:inline distT="0" distB="0" distL="114300" distR="114300">
            <wp:extent cx="2447925" cy="2733675"/>
            <wp:effectExtent l="0" t="0" r="9525" b="952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7"/>
                    <a:stretch>
                      <a:fillRect/>
                    </a:stretch>
                  </pic:blipFill>
                  <pic:spPr>
                    <a:xfrm>
                      <a:off x="0" y="0"/>
                      <a:ext cx="2447925" cy="2733675"/>
                    </a:xfrm>
                    <a:prstGeom prst="rect">
                      <a:avLst/>
                    </a:prstGeom>
                    <a:noFill/>
                    <a:ln>
                      <a:noFill/>
                    </a:ln>
                  </pic:spPr>
                </pic:pic>
              </a:graphicData>
            </a:graphic>
          </wp:inline>
        </w:drawing>
      </w:r>
    </w:p>
    <w:p w14:paraId="7B8620B1">
      <w:pPr>
        <w:pStyle w:val="3"/>
        <w:ind w:right="-94" w:rightChars="-45"/>
        <w:jc w:val="center"/>
        <w:rPr>
          <w:rFonts w:hint="eastAsia" w:ascii="Times New Roman" w:hAnsi="Times New Roman" w:cs="Times New Roman"/>
          <w:b/>
          <w:bCs/>
          <w:sz w:val="36"/>
          <w:szCs w:val="36"/>
        </w:rPr>
      </w:pPr>
    </w:p>
    <w:p w14:paraId="7AA23674">
      <w:pPr>
        <w:spacing w:line="360" w:lineRule="auto"/>
        <w:rPr>
          <w:rFonts w:hint="default" w:ascii="Times New Roman" w:hAnsi="Times New Roman" w:cs="Times New Roman"/>
          <w:b/>
          <w:bCs/>
          <w:sz w:val="28"/>
          <w:szCs w:val="28"/>
          <w:lang w:val="en-US" w:eastAsia="zh-CN"/>
        </w:rPr>
      </w:pPr>
      <w:r>
        <w:rPr>
          <w:rFonts w:hint="eastAsia" w:ascii="Times New Roman" w:hAnsi="Times New Roman" w:cs="Times New Roman"/>
          <w:b/>
          <w:sz w:val="28"/>
          <w:szCs w:val="28"/>
          <w:lang w:val="en-US" w:eastAsia="zh-CN"/>
        </w:rPr>
        <w:t>I. Overview:</w:t>
      </w:r>
    </w:p>
    <w:p w14:paraId="3EEDE8BD">
      <w:pPr>
        <w:spacing w:line="360" w:lineRule="auto"/>
        <w:ind w:firstLine="480" w:firstLineChars="200"/>
        <w:rPr>
          <w:rFonts w:hint="eastAsia" w:ascii="Times New Roman" w:hAnsi="Times New Roman" w:cs="Times New Roman"/>
          <w:sz w:val="32"/>
          <w:szCs w:val="32"/>
        </w:rPr>
      </w:pPr>
      <w:r>
        <w:rPr>
          <w:rFonts w:hint="eastAsia" w:ascii="Times New Roman" w:hAnsi="Times New Roman" w:cs="Times New Roman"/>
          <w:sz w:val="24"/>
          <w:szCs w:val="24"/>
        </w:rPr>
        <w:t>RAD-S102 series fixed radiation probe adopts energy compensation type GM counter tube, which can detect γand X rays in the environment or products in real time and quickly. It can be used together with GM-R200 host or independently, and output in RS485 mode, which is convenient for system integration. All probes can be independently connected with alarm lights, and an audible and visual alarm can be given on the spot when the threshold is exceeded.</w:t>
      </w:r>
    </w:p>
    <w:p w14:paraId="23EDA2C7">
      <w:pPr>
        <w:rPr>
          <w:rFonts w:ascii="Times New Roman" w:hAnsi="Times New Roman" w:cs="Times New Roman"/>
          <w:color w:val="333333"/>
          <w:sz w:val="28"/>
          <w:szCs w:val="28"/>
          <w:shd w:val="clear" w:color="auto" w:fill="FFFFFF"/>
        </w:rPr>
      </w:pPr>
      <w:r>
        <w:rPr>
          <w:rFonts w:hint="eastAsia" w:ascii="Times New Roman" w:hAnsi="Times New Roman" w:cs="Times New Roman"/>
          <w:b/>
          <w:bCs/>
          <w:sz w:val="28"/>
          <w:szCs w:val="28"/>
          <w:lang w:val="en-US" w:eastAsia="zh-CN"/>
        </w:rPr>
        <w:t>Second, the main features:</w:t>
      </w:r>
    </w:p>
    <w:p w14:paraId="60345DEC">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color w:val="333333"/>
          <w:sz w:val="24"/>
          <w:szCs w:val="24"/>
          <w:shd w:val="clear" w:color="auto" w:fill="FFFFFF"/>
          <w:lang w:eastAsia="zh-CN"/>
        </w:rPr>
      </w:pPr>
      <w:r>
        <w:rPr>
          <w:rFonts w:hint="eastAsia" w:ascii="Times New Roman" w:hAnsi="Times New Roman" w:cs="Times New Roman"/>
          <w:color w:val="333333"/>
          <w:sz w:val="24"/>
          <w:szCs w:val="24"/>
          <w:shd w:val="clear" w:color="auto" w:fill="FFFFFF"/>
        </w:rPr>
        <w:t>1. Efficient GM tube detector with high sensitivity and fast response.</w:t>
      </w:r>
    </w:p>
    <w:p w14:paraId="1487A285">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color w:val="333333"/>
          <w:sz w:val="24"/>
          <w:szCs w:val="24"/>
          <w:shd w:val="clear" w:color="auto" w:fill="FFFFFF"/>
          <w:lang w:eastAsia="zh-CN"/>
        </w:rPr>
      </w:pPr>
      <w:r>
        <w:rPr>
          <w:rFonts w:hint="eastAsia" w:ascii="Times New Roman" w:hAnsi="Times New Roman" w:cs="Times New Roman"/>
          <w:color w:val="333333"/>
          <w:sz w:val="24"/>
          <w:szCs w:val="24"/>
          <w:shd w:val="clear" w:color="auto" w:fill="FFFFFF"/>
        </w:rPr>
        <w:t>2. It can be wall-mounted and can be externally connected with high-decibel audible and visual alarm.</w:t>
      </w:r>
    </w:p>
    <w:p w14:paraId="0691ACBB">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cs="Times New Roman"/>
          <w:color w:val="333333"/>
          <w:sz w:val="24"/>
          <w:szCs w:val="24"/>
          <w:shd w:val="clear" w:color="auto" w:fill="FFFFFF"/>
        </w:rPr>
      </w:pPr>
      <w:r>
        <w:rPr>
          <w:rFonts w:hint="eastAsia" w:ascii="Times New Roman" w:hAnsi="Times New Roman" w:cs="Times New Roman"/>
          <w:color w:val="333333"/>
          <w:sz w:val="24"/>
          <w:szCs w:val="24"/>
          <w:shd w:val="clear" w:color="auto" w:fill="FFFFFF"/>
        </w:rPr>
        <w:t>3. The sensor can be equipped with wireless data transmission function.</w:t>
      </w:r>
    </w:p>
    <w:p w14:paraId="311B8D6D">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333333"/>
          <w:sz w:val="24"/>
          <w:szCs w:val="24"/>
          <w:shd w:val="clear" w:color="auto" w:fill="FFFFFF"/>
          <w:lang w:val="en-US" w:eastAsia="zh-CN"/>
        </w:rPr>
      </w:pPr>
      <w:r>
        <w:rPr>
          <w:rFonts w:hint="eastAsia" w:ascii="Times New Roman" w:hAnsi="Times New Roman" w:cs="Times New Roman"/>
          <w:color w:val="333333"/>
          <w:sz w:val="24"/>
          <w:szCs w:val="24"/>
          <w:shd w:val="clear" w:color="auto" w:fill="FFFFFF"/>
        </w:rPr>
        <w:t>4. Output RS485, which can be connected to PLC.</w:t>
      </w:r>
    </w:p>
    <w:p w14:paraId="3560FFE1">
      <w:pPr>
        <w:spacing w:line="15" w:lineRule="auto"/>
        <w:rPr>
          <w:rFonts w:ascii="Times New Roman" w:hAnsi="Times New Roman" w:cs="Times New Roman"/>
          <w:b/>
          <w:bCs/>
          <w:color w:val="333333"/>
          <w:sz w:val="28"/>
          <w:szCs w:val="28"/>
          <w:shd w:val="clear" w:color="auto" w:fill="FFFFFF"/>
        </w:rPr>
      </w:pPr>
      <w:r>
        <w:rPr>
          <w:rFonts w:hint="eastAsia" w:ascii="Times New Roman" w:hAnsi="Times New Roman" w:cs="Times New Roman"/>
          <w:b/>
          <w:color w:val="333333"/>
          <w:sz w:val="28"/>
          <w:szCs w:val="28"/>
          <w:shd w:val="clear" w:color="auto" w:fill="FFFFFF"/>
          <w:lang w:val="en-US" w:eastAsia="zh-CN"/>
        </w:rPr>
        <w:t>III. Technical indication parameters:</w:t>
      </w:r>
    </w:p>
    <w:tbl>
      <w:tblPr>
        <w:tblStyle w:val="5"/>
        <w:tblpPr w:leftFromText="180" w:rightFromText="180" w:vertAnchor="text" w:horzAnchor="page" w:tblpX="1510" w:tblpY="174"/>
        <w:tblOverlap w:val="never"/>
        <w:tblW w:w="951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214"/>
        <w:gridCol w:w="3648"/>
        <w:gridCol w:w="3648"/>
      </w:tblGrid>
      <w:tr w14:paraId="277E5F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1" w:hRule="atLeast"/>
        </w:trPr>
        <w:tc>
          <w:tcPr>
            <w:tcW w:w="2214" w:type="dxa"/>
            <w:tcBorders>
              <w:top w:val="single" w:color="000000" w:sz="4" w:space="0"/>
              <w:left w:val="single" w:color="000000" w:sz="4" w:space="0"/>
              <w:bottom w:val="single" w:color="000000" w:sz="4" w:space="0"/>
              <w:right w:val="single" w:color="000000" w:sz="4" w:space="0"/>
              <w:tl2br w:val="single" w:color="000000" w:sz="4" w:space="0"/>
            </w:tcBorders>
            <w:shd w:val="clear" w:color="auto" w:fill="auto"/>
            <w:vAlign w:val="center"/>
          </w:tcPr>
          <w:p w14:paraId="3BD6DAD7">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model</w:t>
            </w:r>
          </w:p>
          <w:p w14:paraId="2221BCC6">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parameter</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36F4F">
            <w:pPr>
              <w:keepNext w:val="0"/>
              <w:keepLines w:val="0"/>
              <w:widowControl/>
              <w:suppressLineNumbers w:val="0"/>
              <w:jc w:val="left"/>
              <w:textAlignment w:val="center"/>
              <w:rPr>
                <w:rFonts w:hint="default" w:ascii="Times New Roman" w:hAnsi="Times New Roman" w:cs="Times New Roman"/>
                <w:i w:val="0"/>
                <w:iCs w:val="0"/>
                <w:color w:val="000000"/>
                <w:sz w:val="24"/>
                <w:szCs w:val="24"/>
                <w:u w:val="none"/>
                <w:lang w:val="en-US"/>
              </w:rPr>
            </w:pPr>
            <w:r>
              <w:rPr>
                <w:rFonts w:hint="eastAsia" w:ascii="Times New Roman" w:hAnsi="Times New Roman" w:cs="Times New Roman"/>
                <w:i w:val="0"/>
                <w:iCs w:val="0"/>
                <w:color w:val="000000"/>
                <w:kern w:val="0"/>
                <w:sz w:val="24"/>
                <w:szCs w:val="24"/>
                <w:u w:val="none"/>
                <w:lang w:val="en-US" w:eastAsia="zh-CN" w:bidi="ar"/>
              </w:rPr>
              <w:t>RAD-S102</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56525">
            <w:pPr>
              <w:keepNext w:val="0"/>
              <w:keepLines w:val="0"/>
              <w:widowControl/>
              <w:suppressLineNumbers w:val="0"/>
              <w:jc w:val="left"/>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RAD-S102X(CE)</w:t>
            </w:r>
          </w:p>
        </w:tc>
      </w:tr>
      <w:tr w14:paraId="4C5DF1E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0"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C6C72">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Measuring ray type</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6A6B2">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 xml:space="preserve">γ and X-rays </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A635A">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γ</w:t>
            </w:r>
            <w:r>
              <w:rPr>
                <w:rFonts w:hint="eastAsia" w:ascii="Times New Roman" w:hAnsi="Times New Roman" w:cs="Times New Roman"/>
                <w:i w:val="0"/>
                <w:iCs w:val="0"/>
                <w:color w:val="000000"/>
                <w:kern w:val="0"/>
                <w:sz w:val="24"/>
                <w:szCs w:val="24"/>
                <w:u w:val="none"/>
                <w:lang w:val="en-US" w:eastAsia="zh-CN" w:bidi="ar"/>
              </w:rPr>
              <w:t xml:space="preserve"> and χ rays</w:t>
            </w:r>
          </w:p>
        </w:tc>
      </w:tr>
      <w:tr w14:paraId="4D6B63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0"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811FA">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Measuring range</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97F854">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0.01μSv/h～100</w:t>
            </w:r>
            <w:bookmarkStart w:id="2" w:name="_GoBack"/>
            <w:bookmarkEnd w:id="2"/>
            <w:r>
              <w:rPr>
                <w:rFonts w:hint="eastAsia" w:ascii="Times New Roman" w:hAnsi="Times New Roman" w:cs="Times New Roman"/>
                <w:i w:val="0"/>
                <w:iCs w:val="0"/>
                <w:color w:val="000000"/>
                <w:kern w:val="0"/>
                <w:sz w:val="24"/>
                <w:szCs w:val="24"/>
                <w:u w:val="none"/>
                <w:lang w:val="en-US" w:eastAsia="zh-CN" w:bidi="ar"/>
              </w:rPr>
              <w:t>mSv/h</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2BF19F">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0.01μSv/h～50mSv/h</w:t>
            </w:r>
          </w:p>
        </w:tc>
      </w:tr>
      <w:tr w14:paraId="7CF29C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FF3C07">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sensor</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90AF2F">
            <w:pPr>
              <w:keepNext w:val="0"/>
              <w:keepLines w:val="0"/>
              <w:widowControl/>
              <w:suppressLineNumbers w:val="0"/>
              <w:jc w:val="left"/>
              <w:textAlignment w:val="center"/>
              <w:rPr>
                <w:rFonts w:hint="default" w:ascii="Times New Roman" w:hAnsi="Times New Roman" w:cs="Times New Roman"/>
                <w:i w:val="0"/>
                <w:iCs w:val="0"/>
                <w:color w:val="000000"/>
                <w:sz w:val="24"/>
                <w:szCs w:val="24"/>
                <w:u w:val="none"/>
                <w:lang w:val="en-US"/>
              </w:rPr>
            </w:pPr>
            <w:r>
              <w:rPr>
                <w:rFonts w:hint="eastAsia" w:ascii="Times New Roman" w:hAnsi="Times New Roman" w:cs="Times New Roman"/>
                <w:i w:val="0"/>
                <w:iCs w:val="0"/>
                <w:color w:val="000000"/>
                <w:kern w:val="0"/>
                <w:sz w:val="24"/>
                <w:szCs w:val="24"/>
                <w:u w:val="none"/>
                <w:lang w:val="en-US" w:eastAsia="zh-CN" w:bidi="ar"/>
              </w:rPr>
              <w:t>energy compensation sensor</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B2993">
            <w:pPr>
              <w:keepNext w:val="0"/>
              <w:keepLines w:val="0"/>
              <w:widowControl/>
              <w:suppressLineNumbers w:val="0"/>
              <w:jc w:val="left"/>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Semiconductor sensor</w:t>
            </w:r>
          </w:p>
        </w:tc>
      </w:tr>
      <w:tr w14:paraId="78749B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025DDA">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Alarm function</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AA641">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Acousto-optic alarm</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51FB65">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Acousto-optic alarm</w:t>
            </w:r>
          </w:p>
        </w:tc>
      </w:tr>
      <w:tr w14:paraId="63FCBC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2130F">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Energy range</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1C9426">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40KeV～1.5Mev</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A2CFE4">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35KeV～3Mev</w:t>
            </w:r>
          </w:p>
        </w:tc>
      </w:tr>
      <w:tr w14:paraId="1FC4C7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7B7FF5">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sensitivity</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5F5A8">
            <w:pPr>
              <w:keepNext w:val="0"/>
              <w:keepLines w:val="0"/>
              <w:widowControl/>
              <w:suppressLineNumbers w:val="0"/>
              <w:jc w:val="left"/>
              <w:textAlignment w:val="center"/>
              <w:rPr>
                <w:rFonts w:hint="default" w:ascii="Times New Roman" w:hAnsi="Times New Roman" w:cs="Times New Roman"/>
                <w:i w:val="0"/>
                <w:iCs w:val="0"/>
                <w:color w:val="000000"/>
                <w:sz w:val="24"/>
                <w:szCs w:val="24"/>
                <w:u w:val="none"/>
                <w:lang w:val="en-US"/>
              </w:rPr>
            </w:pPr>
            <w:r>
              <w:rPr>
                <w:rFonts w:hint="eastAsia" w:ascii="Times New Roman" w:hAnsi="Times New Roman" w:cs="Times New Roman"/>
                <w:i w:val="0"/>
                <w:iCs w:val="0"/>
                <w:color w:val="000000"/>
                <w:kern w:val="0"/>
                <w:sz w:val="24"/>
                <w:szCs w:val="24"/>
                <w:u w:val="none"/>
                <w:lang w:val="en-US" w:eastAsia="zh-CN" w:bidi="ar"/>
              </w:rPr>
              <w:t>About 1600CPM/mR/h (for Cs-137)</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16B9BB">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About 20CPM/mR/h (for Cs-137)</w:t>
            </w:r>
          </w:p>
        </w:tc>
      </w:tr>
      <w:tr w14:paraId="7302BD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6FB95">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Relative inherent error</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332618">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Times New Roman" w:hAnsi="Times New Roman" w:cs="Times New Roman"/>
                <w:i w:val="0"/>
                <w:iCs w:val="0"/>
                <w:color w:val="000000"/>
                <w:sz w:val="24"/>
                <w:szCs w:val="24"/>
                <w:u w:val="none"/>
              </w:rPr>
            </w:pPr>
            <w:r>
              <w:rPr>
                <w:rFonts w:hint="eastAsia" w:ascii="Times New Roman" w:hAnsi="Times New Roman" w:cs="Times New Roman"/>
                <w:color w:val="333333"/>
                <w:sz w:val="24"/>
                <w:szCs w:val="24"/>
                <w:shd w:val="clear" w:color="auto" w:fill="FFFFFF"/>
              </w:rPr>
              <w:t>γ：±20%  X：±30%</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EB7623">
            <w:pPr>
              <w:keepNext w:val="0"/>
              <w:keepLines w:val="0"/>
              <w:pageBreakBefore w:val="0"/>
              <w:widowControl w:val="0"/>
              <w:kinsoku/>
              <w:wordWrap/>
              <w:overflowPunct/>
              <w:topLinePunct w:val="0"/>
              <w:autoSpaceDE/>
              <w:autoSpaceDN/>
              <w:bidi w:val="0"/>
              <w:adjustRightInd/>
              <w:snapToGrid/>
              <w:spacing w:line="240" w:lineRule="atLeast"/>
              <w:textAlignment w:val="auto"/>
              <w:rPr>
                <w:rFonts w:hint="default" w:ascii="Times New Roman" w:hAnsi="Times New Roman" w:cs="Times New Roman"/>
                <w:color w:val="333333"/>
                <w:sz w:val="24"/>
                <w:szCs w:val="24"/>
                <w:shd w:val="clear" w:color="auto" w:fill="FFFFFF"/>
                <w:lang w:val="en-US" w:eastAsia="zh-CN"/>
              </w:rPr>
            </w:pPr>
            <w:r>
              <w:rPr>
                <w:rFonts w:hint="eastAsia" w:ascii="Times New Roman" w:hAnsi="Times New Roman" w:cs="Times New Roman"/>
                <w:color w:val="333333"/>
                <w:sz w:val="24"/>
                <w:szCs w:val="24"/>
                <w:shd w:val="clear" w:color="auto" w:fill="FFFFFF"/>
              </w:rPr>
              <w:t>γ：±15%X：±25%</w:t>
            </w:r>
          </w:p>
        </w:tc>
      </w:tr>
      <w:tr w14:paraId="090C29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80E94">
            <w:pPr>
              <w:keepNext w:val="0"/>
              <w:keepLines w:val="0"/>
              <w:widowControl/>
              <w:suppressLineNumbers w:val="0"/>
              <w:jc w:val="left"/>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Power Supply </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62B27">
            <w:pPr>
              <w:keepNext w:val="0"/>
              <w:keepLines w:val="0"/>
              <w:widowControl/>
              <w:suppressLineNumbers w:val="0"/>
              <w:jc w:val="left"/>
              <w:textAlignment w:val="center"/>
              <w:rPr>
                <w:rFonts w:hint="default"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12-24V</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F970AC">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12-24V</w:t>
            </w:r>
          </w:p>
        </w:tc>
      </w:tr>
      <w:tr w14:paraId="6B4A3C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045EF3">
            <w:pPr>
              <w:keepNext w:val="0"/>
              <w:keepLines w:val="0"/>
              <w:widowControl/>
              <w:suppressLineNumbers w:val="0"/>
              <w:jc w:val="left"/>
              <w:textAlignment w:val="center"/>
              <w:rPr>
                <w:rFonts w:hint="default" w:ascii="Times New Roman" w:hAnsi="Times New Roman" w:cs="Times New Roman"/>
                <w:i w:val="0"/>
                <w:iCs w:val="0"/>
                <w:color w:val="000000"/>
                <w:sz w:val="24"/>
                <w:szCs w:val="24"/>
                <w:u w:val="none"/>
                <w:lang w:val="en-US"/>
              </w:rPr>
            </w:pPr>
            <w:r>
              <w:rPr>
                <w:rFonts w:hint="eastAsia" w:ascii="Times New Roman" w:hAnsi="Times New Roman" w:cs="Times New Roman"/>
                <w:i w:val="0"/>
                <w:iCs w:val="0"/>
                <w:color w:val="000000"/>
                <w:kern w:val="0"/>
                <w:sz w:val="24"/>
                <w:szCs w:val="24"/>
                <w:u w:val="none"/>
                <w:lang w:val="en-US" w:eastAsia="zh-CN" w:bidi="ar"/>
              </w:rPr>
              <w:t>correspondence</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F8B26">
            <w:pPr>
              <w:keepNext w:val="0"/>
              <w:keepLines w:val="0"/>
              <w:widowControl/>
              <w:suppressLineNumbers w:val="0"/>
              <w:jc w:val="left"/>
              <w:textAlignment w:val="center"/>
              <w:rPr>
                <w:rFonts w:hint="default" w:ascii="Times New Roman" w:hAnsi="Times New Roman" w:cs="Times New Roman"/>
                <w:i w:val="0"/>
                <w:iCs w:val="0"/>
                <w:color w:val="000000"/>
                <w:sz w:val="24"/>
                <w:szCs w:val="24"/>
                <w:u w:val="none"/>
                <w:lang w:val="en-US" w:eastAsia="zh-CN"/>
              </w:rPr>
            </w:pPr>
            <w:r>
              <w:rPr>
                <w:rFonts w:hint="eastAsia" w:ascii="Times New Roman" w:hAnsi="Times New Roman" w:cs="Times New Roman"/>
                <w:i w:val="0"/>
                <w:iCs w:val="0"/>
                <w:color w:val="000000"/>
                <w:sz w:val="24"/>
                <w:szCs w:val="24"/>
                <w:u w:val="none"/>
                <w:lang w:val="en-US" w:eastAsia="zh-CN"/>
              </w:rPr>
              <w:t>RS485 MODBUS communication protocol</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F68A2">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lang w:val="en-US" w:eastAsia="zh-CN"/>
              </w:rPr>
            </w:pPr>
            <w:r>
              <w:rPr>
                <w:rFonts w:hint="eastAsia" w:ascii="Times New Roman" w:hAnsi="Times New Roman" w:cs="Times New Roman"/>
                <w:i w:val="0"/>
                <w:iCs w:val="0"/>
                <w:color w:val="000000"/>
                <w:sz w:val="24"/>
                <w:szCs w:val="24"/>
                <w:u w:val="none"/>
                <w:lang w:val="en-US" w:eastAsia="zh-CN"/>
              </w:rPr>
              <w:t>RS485 MODBUS communication protocol</w:t>
            </w:r>
          </w:p>
        </w:tc>
      </w:tr>
      <w:tr w14:paraId="0B99E7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883914">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weight</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11D02E">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About 270g</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0315F9">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About 260g</w:t>
            </w:r>
          </w:p>
        </w:tc>
      </w:tr>
      <w:tr w14:paraId="7DA08B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71BF64">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Overall dimension (mm)</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E5B06">
            <w:pPr>
              <w:numPr>
                <w:ilvl w:val="0"/>
                <w:numId w:val="0"/>
              </w:numPr>
              <w:spacing w:line="360" w:lineRule="auto"/>
              <w:jc w:val="both"/>
              <w:rPr>
                <w:rFonts w:hint="eastAsia" w:ascii="Times New Roman" w:hAnsi="Times New Roman" w:cs="Times New Roman"/>
                <w:i w:val="0"/>
                <w:iCs w:val="0"/>
                <w:color w:val="000000"/>
                <w:sz w:val="24"/>
                <w:szCs w:val="24"/>
                <w:u w:val="none"/>
              </w:rPr>
            </w:pPr>
            <w:r>
              <w:rPr>
                <w:rFonts w:hint="eastAsia" w:ascii="Times New Roman" w:hAnsi="Times New Roman" w:cs="Times New Roman"/>
                <w:sz w:val="24"/>
                <w:szCs w:val="24"/>
                <w:lang w:val="en-US" w:eastAsia="zh-CN"/>
              </w:rPr>
              <w:t>187*90*45mm (including mounting piece)</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CD1EDF">
            <w:pPr>
              <w:numPr>
                <w:ilvl w:val="0"/>
                <w:numId w:val="0"/>
              </w:numPr>
              <w:spacing w:line="360" w:lineRule="auto"/>
              <w:jc w:val="both"/>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187*90*45mm (including mounting piece)</w:t>
            </w:r>
          </w:p>
        </w:tc>
      </w:tr>
      <w:tr w14:paraId="24751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5D0C39">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authentication</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7AF3C5">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Radiation safety license, IS09001</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60EB5C">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Radiation safety license, IS09001</w:t>
            </w:r>
          </w:p>
        </w:tc>
      </w:tr>
      <w:tr w14:paraId="7398F8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21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1EEF97">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quality assurance date</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D79A7B">
            <w:pPr>
              <w:keepNext w:val="0"/>
              <w:keepLines w:val="0"/>
              <w:widowControl/>
              <w:suppressLineNumbers w:val="0"/>
              <w:jc w:val="left"/>
              <w:textAlignment w:val="center"/>
              <w:rPr>
                <w:rFonts w:hint="eastAsia" w:ascii="Times New Roman" w:hAnsi="Times New Roman" w:cs="Times New Roman"/>
                <w:i w:val="0"/>
                <w:iCs w:val="0"/>
                <w:color w:val="000000"/>
                <w:sz w:val="24"/>
                <w:szCs w:val="24"/>
                <w:u w:val="none"/>
              </w:rPr>
            </w:pPr>
            <w:r>
              <w:rPr>
                <w:rFonts w:hint="eastAsia" w:ascii="Times New Roman" w:hAnsi="Times New Roman" w:cs="Times New Roman"/>
                <w:i w:val="0"/>
                <w:iCs w:val="0"/>
                <w:color w:val="000000"/>
                <w:kern w:val="0"/>
                <w:sz w:val="24"/>
                <w:szCs w:val="24"/>
                <w:u w:val="none"/>
                <w:lang w:val="en-US" w:eastAsia="zh-CN" w:bidi="ar"/>
              </w:rPr>
              <w:t>The whole machine is guaranteed for one year</w:t>
            </w:r>
          </w:p>
        </w:tc>
        <w:tc>
          <w:tcPr>
            <w:tcW w:w="364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36B52A">
            <w:pPr>
              <w:keepNext w:val="0"/>
              <w:keepLines w:val="0"/>
              <w:widowControl/>
              <w:suppressLineNumbers w:val="0"/>
              <w:jc w:val="left"/>
              <w:textAlignment w:val="center"/>
              <w:rPr>
                <w:rFonts w:hint="eastAsia" w:ascii="Times New Roman" w:hAnsi="Times New Roman" w:cs="Times New Roman"/>
                <w:i w:val="0"/>
                <w:iCs w:val="0"/>
                <w:color w:val="000000"/>
                <w:kern w:val="0"/>
                <w:sz w:val="24"/>
                <w:szCs w:val="24"/>
                <w:u w:val="none"/>
                <w:lang w:val="en-US" w:eastAsia="zh-CN" w:bidi="ar"/>
              </w:rPr>
            </w:pPr>
            <w:r>
              <w:rPr>
                <w:rFonts w:hint="eastAsia" w:ascii="Times New Roman" w:hAnsi="Times New Roman" w:cs="Times New Roman"/>
                <w:i w:val="0"/>
                <w:iCs w:val="0"/>
                <w:color w:val="000000"/>
                <w:kern w:val="0"/>
                <w:sz w:val="24"/>
                <w:szCs w:val="24"/>
                <w:u w:val="none"/>
                <w:lang w:val="en-US" w:eastAsia="zh-CN" w:bidi="ar"/>
              </w:rPr>
              <w:t>The whole machine is guaranteed for one year</w:t>
            </w:r>
          </w:p>
        </w:tc>
      </w:tr>
    </w:tbl>
    <w:p w14:paraId="519BE6D8">
      <w:pPr>
        <w:keepNext w:val="0"/>
        <w:keepLines w:val="0"/>
        <w:pageBreakBefore w:val="0"/>
        <w:widowControl w:val="0"/>
        <w:kinsoku/>
        <w:wordWrap/>
        <w:overflowPunct/>
        <w:topLinePunct w:val="0"/>
        <w:autoSpaceDE/>
        <w:autoSpaceDN/>
        <w:bidi w:val="0"/>
        <w:adjustRightInd/>
        <w:snapToGrid/>
        <w:spacing w:line="240" w:lineRule="atLeast"/>
        <w:textAlignment w:val="auto"/>
        <w:rPr>
          <w:rFonts w:hint="eastAsia" w:ascii="Times New Roman" w:hAnsi="Times New Roman" w:cs="Times New Roman"/>
          <w:color w:val="333333"/>
          <w:sz w:val="28"/>
          <w:szCs w:val="28"/>
          <w:shd w:val="clear" w:color="auto" w:fill="FFFFFF"/>
          <w:lang w:val="en-US" w:eastAsia="zh-CN"/>
        </w:rPr>
      </w:pPr>
    </w:p>
    <w:p w14:paraId="6250C0B9">
      <w:pPr>
        <w:keepNext w:val="0"/>
        <w:keepLines w:val="0"/>
        <w:pageBreakBefore w:val="0"/>
        <w:widowControl w:val="0"/>
        <w:numPr>
          <w:ilvl w:val="0"/>
          <w:numId w:val="1"/>
        </w:numPr>
        <w:kinsoku/>
        <w:wordWrap/>
        <w:overflowPunct/>
        <w:topLinePunct w:val="0"/>
        <w:autoSpaceDE/>
        <w:autoSpaceDN/>
        <w:bidi w:val="0"/>
        <w:adjustRightInd/>
        <w:snapToGrid/>
        <w:spacing w:line="240" w:lineRule="atLeast"/>
        <w:textAlignment w:val="auto"/>
        <w:rPr>
          <w:rFonts w:hint="default" w:ascii="Times New Roman" w:hAnsi="Times New Roman" w:cs="Times New Roman"/>
          <w:color w:val="333333"/>
          <w:sz w:val="28"/>
          <w:szCs w:val="28"/>
          <w:shd w:val="clear" w:color="auto" w:fill="FFFFFF"/>
          <w:lang w:val="en-US" w:eastAsia="zh-CN"/>
        </w:rPr>
      </w:pPr>
      <w:r>
        <w:rPr>
          <w:rFonts w:hint="eastAsia" w:ascii="Times New Roman" w:hAnsi="Times New Roman" w:cs="Times New Roman"/>
          <w:b/>
          <w:bCs/>
          <w:color w:val="333333"/>
          <w:sz w:val="28"/>
          <w:szCs w:val="28"/>
          <w:shd w:val="clear" w:color="auto" w:fill="FFFFFF"/>
          <w:lang w:val="en-US" w:eastAsia="zh-CN"/>
        </w:rPr>
        <w:t>Installation mode</w:t>
      </w:r>
    </w:p>
    <w:p w14:paraId="6C2605BB">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ajorEastAsia" w:hAnsiTheme="majorEastAsia" w:eastAsiaTheme="majorEastAsia" w:cstheme="majorEastAsia"/>
          <w:color w:val="333333"/>
          <w:sz w:val="24"/>
          <w:szCs w:val="24"/>
          <w:shd w:val="clear" w:color="auto" w:fill="FFFFFF"/>
          <w:lang w:val="en-US" w:eastAsia="zh-CN"/>
        </w:rPr>
      </w:pPr>
      <w:r>
        <w:rPr>
          <w:rFonts w:hint="default" w:ascii="Times New Roman" w:hAnsi="Times New Roman" w:cs="Times New Roman"/>
          <w:color w:val="333333"/>
          <w:sz w:val="28"/>
          <w:szCs w:val="28"/>
          <w:shd w:val="clear" w:color="auto" w:fill="FFFFFF"/>
          <w:lang w:val="en-US" w:eastAsia="zh-CN"/>
        </w:rPr>
        <w:drawing>
          <wp:anchor distT="0" distB="0" distL="114300" distR="114300" simplePos="0" relativeHeight="251660288" behindDoc="0" locked="0" layoutInCell="1" allowOverlap="1">
            <wp:simplePos x="0" y="0"/>
            <wp:positionH relativeFrom="column">
              <wp:posOffset>1599565</wp:posOffset>
            </wp:positionH>
            <wp:positionV relativeFrom="paragraph">
              <wp:posOffset>-215900</wp:posOffset>
            </wp:positionV>
            <wp:extent cx="2012315" cy="3178175"/>
            <wp:effectExtent l="0" t="0" r="3175" b="6985"/>
            <wp:wrapNone/>
            <wp:docPr id="2" name="图片 2" descr="cbf9d592cce17eb6a1707e35a60146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bf9d592cce17eb6a1707e35a60146c"/>
                    <pic:cNvPicPr>
                      <a:picLocks noChangeAspect="1"/>
                    </pic:cNvPicPr>
                  </pic:nvPicPr>
                  <pic:blipFill>
                    <a:blip r:embed="rId8"/>
                    <a:srcRect l="10627" t="9568" r="1303"/>
                    <a:stretch>
                      <a:fillRect/>
                    </a:stretch>
                  </pic:blipFill>
                  <pic:spPr>
                    <a:xfrm rot="16200000">
                      <a:off x="0" y="0"/>
                      <a:ext cx="2012315" cy="3178175"/>
                    </a:xfrm>
                    <a:prstGeom prst="rect">
                      <a:avLst/>
                    </a:prstGeom>
                  </pic:spPr>
                </pic:pic>
              </a:graphicData>
            </a:graphic>
          </wp:anchor>
        </w:drawing>
      </w:r>
      <w:r>
        <w:rPr>
          <w:rFonts w:hint="eastAsia" w:asciiTheme="majorEastAsia" w:hAnsiTheme="majorEastAsia" w:eastAsiaTheme="majorEastAsia" w:cstheme="majorEastAsia"/>
          <w:color w:val="333333"/>
          <w:sz w:val="24"/>
          <w:szCs w:val="24"/>
          <w:shd w:val="clear" w:color="auto" w:fill="FFFFFF"/>
          <w:lang w:val="en-US" w:eastAsia="zh-CN"/>
        </w:rPr>
        <w:t>Screw installation</w:t>
      </w:r>
    </w:p>
    <w:p w14:paraId="6178778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5F5C3392">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5C6C17BE">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39045338">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213B9AF0">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5B63119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0A847ED7">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Theme="majorEastAsia" w:hAnsiTheme="majorEastAsia" w:eastAsiaTheme="majorEastAsia" w:cstheme="majorEastAsia"/>
          <w:color w:val="333333"/>
          <w:sz w:val="24"/>
          <w:szCs w:val="24"/>
          <w:shd w:val="clear" w:color="auto" w:fill="FFFFFF"/>
          <w:lang w:val="en-US" w:eastAsia="zh-CN"/>
        </w:rPr>
      </w:pPr>
    </w:p>
    <w:p w14:paraId="5336EE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Theme="majorEastAsia" w:hAnsiTheme="majorEastAsia" w:eastAsiaTheme="majorEastAsia" w:cstheme="majorEastAsia"/>
          <w:color w:val="333333"/>
          <w:sz w:val="24"/>
          <w:szCs w:val="24"/>
          <w:shd w:val="clear" w:color="auto" w:fill="FFFFFF"/>
          <w:lang w:val="en-US" w:eastAsia="zh-CN"/>
        </w:rPr>
      </w:pPr>
      <w:r>
        <w:rPr>
          <w:rFonts w:hint="eastAsia" w:asciiTheme="majorEastAsia" w:hAnsiTheme="majorEastAsia" w:eastAsiaTheme="majorEastAsia" w:cstheme="majorEastAsia"/>
          <w:color w:val="333333"/>
          <w:sz w:val="24"/>
          <w:szCs w:val="24"/>
          <w:shd w:val="clear" w:color="auto" w:fill="FFFFFF"/>
          <w:lang w:val="en-US" w:eastAsia="zh-CN"/>
        </w:rPr>
        <w:t>(1) Put the probe in the position where it needs to be installed, mark the four installation holes with a marker, punch holes on the wall with an impact drill, and knock the plastic swelling into the wall (as far as possible), then align the four holes on the detector installation plate with four screws and tighten them with screws;</w:t>
      </w:r>
    </w:p>
    <w:p w14:paraId="06C1FD8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heme="majorEastAsia" w:hAnsiTheme="majorEastAsia" w:eastAsiaTheme="majorEastAsia" w:cstheme="majorEastAsia"/>
          <w:color w:val="333333"/>
          <w:sz w:val="24"/>
          <w:szCs w:val="24"/>
          <w:shd w:val="clear" w:color="auto" w:fill="FFFFFF"/>
          <w:lang w:val="en-US" w:eastAsia="zh-CN"/>
        </w:rPr>
      </w:pPr>
    </w:p>
    <w:p w14:paraId="666199CC">
      <w:pPr>
        <w:jc w:val="both"/>
        <w:rPr>
          <w:rFonts w:hint="eastAsia" w:ascii="Times New Roman" w:hAnsi="Times New Roman" w:cs="Times New Roman"/>
          <w:b/>
          <w:bCs/>
          <w:color w:val="000000"/>
          <w:sz w:val="28"/>
          <w:szCs w:val="28"/>
        </w:rPr>
      </w:pPr>
      <w:r>
        <w:rPr>
          <w:rFonts w:hint="eastAsia" w:ascii="Times New Roman" w:hAnsi="Times New Roman" w:cs="Times New Roman"/>
          <w:b/>
          <w:bCs/>
          <w:color w:val="000000"/>
          <w:sz w:val="28"/>
          <w:szCs w:val="28"/>
          <w:lang w:val="en-US" w:eastAsia="zh-CN"/>
        </w:rPr>
        <w:t>V. Communication protocols</w:t>
      </w:r>
    </w:p>
    <w:p w14:paraId="7ABBCE92">
      <w:pPr>
        <w:rPr>
          <w:rFonts w:ascii="Times New Roman" w:hAnsi="Times New Roman" w:cs="Times New Roman"/>
          <w:b/>
          <w:bCs/>
          <w:color w:val="000000"/>
          <w:sz w:val="52"/>
          <w:szCs w:val="52"/>
        </w:rPr>
      </w:pPr>
      <w:r>
        <w:rPr>
          <w:rFonts w:hint="eastAsia" w:ascii="Times New Roman" w:hAnsi="Times New Roman" w:cs="Times New Roman"/>
        </w:rPr>
        <w:t>Wiring definition: red: +12VDC, black: power ground, green: 485-A, yellow: 485-b.</w:t>
      </w:r>
    </w:p>
    <w:p w14:paraId="640B737E">
      <w:pPr>
        <w:rPr>
          <w:rFonts w:ascii="Times New Roman" w:hAnsi="Times New Roman" w:cs="Times New Roman"/>
          <w:color w:val="000000"/>
        </w:rPr>
      </w:pPr>
      <w:r>
        <w:rPr>
          <w:rFonts w:ascii="Times New Roman" w:hAnsi="Times New Roman" w:cs="Times New Roman"/>
          <w:color w:val="000000"/>
        </w:rPr>
        <w:t>Communication interface parameters:Communication method: RS485</w:t>
      </w:r>
    </w:p>
    <w:p w14:paraId="595A4699">
      <w:pPr>
        <w:ind w:firstLine="840" w:firstLineChars="400"/>
        <w:rPr>
          <w:rFonts w:ascii="Times New Roman" w:hAnsi="Times New Roman" w:cs="Times New Roman"/>
          <w:color w:val="000000"/>
        </w:rPr>
      </w:pPr>
      <w:r>
        <w:rPr>
          <w:rFonts w:ascii="Times New Roman" w:hAnsi="Times New Roman" w:cs="Times New Roman"/>
          <w:color w:val="000000"/>
        </w:rPr>
        <w:t>Protocol: MODBUS-RTU</w:t>
      </w:r>
    </w:p>
    <w:p w14:paraId="269EC3ED">
      <w:pPr>
        <w:rPr>
          <w:rFonts w:ascii="Times New Roman" w:hAnsi="Times New Roman" w:cs="Times New Roman"/>
          <w:color w:val="000000"/>
        </w:rPr>
      </w:pPr>
      <w:r>
        <w:rPr>
          <w:rFonts w:ascii="Times New Roman" w:hAnsi="Times New Roman" w:cs="Times New Roman"/>
          <w:color w:val="000000"/>
        </w:rPr>
        <w:t>Device address: 0x01</w:t>
      </w:r>
    </w:p>
    <w:p w14:paraId="2830E79F">
      <w:pPr>
        <w:rPr>
          <w:rFonts w:ascii="Times New Roman" w:hAnsi="Times New Roman" w:cs="Times New Roman"/>
          <w:color w:val="000000"/>
        </w:rPr>
      </w:pPr>
      <w:r>
        <w:rPr>
          <w:rFonts w:ascii="Times New Roman" w:hAnsi="Times New Roman" w:cs="Times New Roman"/>
          <w:color w:val="000000"/>
        </w:rPr>
        <w:t>Baud rate: 9600bps</w:t>
      </w:r>
    </w:p>
    <w:p w14:paraId="3C653F63">
      <w:pPr>
        <w:rPr>
          <w:rFonts w:ascii="Times New Roman" w:hAnsi="Times New Roman" w:cs="Times New Roman"/>
          <w:color w:val="000000"/>
        </w:rPr>
      </w:pPr>
      <w:r>
        <w:rPr>
          <w:rFonts w:ascii="Times New Roman" w:hAnsi="Times New Roman" w:cs="Times New Roman"/>
          <w:color w:val="000000"/>
        </w:rPr>
        <w:t>Data bits: 8</w:t>
      </w:r>
    </w:p>
    <w:p w14:paraId="1CC46D33">
      <w:pPr>
        <w:rPr>
          <w:rFonts w:ascii="Times New Roman" w:hAnsi="Times New Roman" w:cs="Times New Roman"/>
          <w:color w:val="000000"/>
        </w:rPr>
      </w:pPr>
      <w:r>
        <w:rPr>
          <w:rFonts w:ascii="Times New Roman" w:hAnsi="Times New Roman" w:cs="Times New Roman"/>
          <w:color w:val="000000"/>
        </w:rPr>
        <w:t>Stop bit: 1</w:t>
      </w:r>
    </w:p>
    <w:p w14:paraId="6A2BA551">
      <w:pPr>
        <w:rPr>
          <w:rFonts w:ascii="Times New Roman" w:hAnsi="Times New Roman" w:cs="Times New Roman"/>
          <w:color w:val="000000"/>
        </w:rPr>
      </w:pPr>
      <w:r>
        <w:rPr>
          <w:rFonts w:ascii="Times New Roman" w:hAnsi="Times New Roman" w:cs="Times New Roman"/>
          <w:color w:val="000000"/>
        </w:rPr>
        <w:t>Check Digit: None</w:t>
      </w:r>
    </w:p>
    <w:p w14:paraId="4EC2ED6F">
      <w:pPr>
        <w:rPr>
          <w:rFonts w:ascii="Times New Roman" w:hAnsi="Times New Roman" w:cs="Times New Roman"/>
        </w:rPr>
      </w:pPr>
      <w:r>
        <w:rPr>
          <w:rFonts w:ascii="Times New Roman" w:hAnsi="Times New Roman" w:cs="Times New Roman"/>
        </w:rPr>
        <w:t>The communication protocol:</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4"/>
        <w:gridCol w:w="1701"/>
        <w:gridCol w:w="1701"/>
        <w:gridCol w:w="992"/>
        <w:gridCol w:w="3261"/>
      </w:tblGrid>
      <w:tr w14:paraId="7D5BC8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trPr>
        <w:tc>
          <w:tcPr>
            <w:tcW w:w="1384" w:type="dxa"/>
          </w:tcPr>
          <w:p w14:paraId="0319E31B">
            <w:pPr>
              <w:jc w:val="center"/>
              <w:rPr>
                <w:rFonts w:ascii="Times New Roman" w:hAnsi="Times New Roman" w:cs="Times New Roman"/>
                <w:color w:val="000000"/>
              </w:rPr>
            </w:pPr>
            <w:r>
              <w:rPr>
                <w:rFonts w:ascii="Times New Roman" w:hAnsi="Times New Roman" w:cs="Times New Roman"/>
                <w:color w:val="000000"/>
              </w:rPr>
              <w:t>Register address</w:t>
            </w:r>
          </w:p>
        </w:tc>
        <w:tc>
          <w:tcPr>
            <w:tcW w:w="1701" w:type="dxa"/>
          </w:tcPr>
          <w:p w14:paraId="2E82F467">
            <w:pPr>
              <w:jc w:val="center"/>
              <w:rPr>
                <w:rFonts w:ascii="Times New Roman" w:hAnsi="Times New Roman" w:cs="Times New Roman"/>
                <w:color w:val="000000"/>
              </w:rPr>
            </w:pPr>
            <w:r>
              <w:rPr>
                <w:rFonts w:ascii="Times New Roman" w:hAnsi="Times New Roman" w:cs="Times New Roman"/>
                <w:color w:val="000000"/>
              </w:rPr>
              <w:t>Register content</w:t>
            </w:r>
          </w:p>
        </w:tc>
        <w:tc>
          <w:tcPr>
            <w:tcW w:w="1701" w:type="dxa"/>
          </w:tcPr>
          <w:p w14:paraId="421BF5CE">
            <w:pPr>
              <w:jc w:val="center"/>
              <w:rPr>
                <w:rFonts w:ascii="Times New Roman" w:hAnsi="Times New Roman" w:cs="Times New Roman"/>
                <w:color w:val="000000"/>
              </w:rPr>
            </w:pPr>
            <w:r>
              <w:rPr>
                <w:rFonts w:ascii="Times New Roman" w:hAnsi="Times New Roman" w:cs="Times New Roman"/>
                <w:color w:val="000000"/>
              </w:rPr>
              <w:t>type of data</w:t>
            </w:r>
          </w:p>
        </w:tc>
        <w:tc>
          <w:tcPr>
            <w:tcW w:w="992" w:type="dxa"/>
          </w:tcPr>
          <w:p w14:paraId="104164E9">
            <w:pPr>
              <w:jc w:val="center"/>
              <w:rPr>
                <w:rFonts w:ascii="Times New Roman" w:hAnsi="Times New Roman" w:cs="Times New Roman"/>
                <w:color w:val="000000"/>
              </w:rPr>
            </w:pPr>
            <w:r>
              <w:rPr>
                <w:rFonts w:ascii="Times New Roman" w:hAnsi="Times New Roman" w:cs="Times New Roman"/>
                <w:color w:val="000000"/>
              </w:rPr>
              <w:t>R/W</w:t>
            </w:r>
          </w:p>
        </w:tc>
        <w:tc>
          <w:tcPr>
            <w:tcW w:w="3261" w:type="dxa"/>
          </w:tcPr>
          <w:p w14:paraId="165B3C2E">
            <w:pPr>
              <w:jc w:val="center"/>
              <w:rPr>
                <w:rFonts w:ascii="Times New Roman" w:hAnsi="Times New Roman" w:cs="Times New Roman"/>
                <w:color w:val="000000"/>
              </w:rPr>
            </w:pPr>
            <w:r>
              <w:rPr>
                <w:rFonts w:ascii="Times New Roman" w:hAnsi="Times New Roman" w:cs="Times New Roman"/>
                <w:color w:val="000000"/>
              </w:rPr>
              <w:t>Description</w:t>
            </w:r>
          </w:p>
        </w:tc>
      </w:tr>
      <w:tr w14:paraId="00F42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0D6991EF">
            <w:pPr>
              <w:jc w:val="center"/>
              <w:rPr>
                <w:rFonts w:ascii="Times New Roman" w:hAnsi="Times New Roman" w:cs="Times New Roman"/>
                <w:color w:val="000000"/>
              </w:rPr>
            </w:pPr>
            <w:r>
              <w:rPr>
                <w:rFonts w:ascii="Times New Roman" w:hAnsi="Times New Roman" w:cs="Times New Roman"/>
                <w:color w:val="000000"/>
              </w:rPr>
              <w:t>0001</w:t>
            </w:r>
          </w:p>
        </w:tc>
        <w:tc>
          <w:tcPr>
            <w:tcW w:w="1701" w:type="dxa"/>
          </w:tcPr>
          <w:p w14:paraId="37D9630D">
            <w:pPr>
              <w:jc w:val="center"/>
              <w:rPr>
                <w:rFonts w:ascii="Times New Roman" w:hAnsi="Times New Roman" w:cs="Times New Roman"/>
                <w:color w:val="000000"/>
              </w:rPr>
            </w:pPr>
            <w:r>
              <w:rPr>
                <w:rFonts w:ascii="Times New Roman" w:hAnsi="Times New Roman" w:cs="Times New Roman"/>
                <w:color w:val="000000"/>
              </w:rPr>
              <w:t>(μSv/h  * 1000)</w:t>
            </w:r>
          </w:p>
        </w:tc>
        <w:tc>
          <w:tcPr>
            <w:tcW w:w="1701" w:type="dxa"/>
          </w:tcPr>
          <w:p w14:paraId="2950A811">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2E01E025">
            <w:pPr>
              <w:jc w:val="center"/>
              <w:rPr>
                <w:rFonts w:ascii="Times New Roman" w:hAnsi="Times New Roman" w:cs="Times New Roman"/>
                <w:color w:val="000000"/>
              </w:rPr>
            </w:pPr>
            <w:r>
              <w:rPr>
                <w:rFonts w:ascii="Times New Roman" w:hAnsi="Times New Roman" w:cs="Times New Roman"/>
                <w:color w:val="000000"/>
              </w:rPr>
              <w:t>R</w:t>
            </w:r>
          </w:p>
        </w:tc>
        <w:tc>
          <w:tcPr>
            <w:tcW w:w="3261" w:type="dxa"/>
          </w:tcPr>
          <w:p w14:paraId="19A3581C">
            <w:pPr>
              <w:jc w:val="center"/>
              <w:rPr>
                <w:rFonts w:ascii="Times New Roman" w:hAnsi="Times New Roman" w:cs="Times New Roman"/>
                <w:color w:val="000000"/>
              </w:rPr>
            </w:pPr>
            <w:r>
              <w:rPr>
                <w:rFonts w:ascii="Times New Roman" w:hAnsi="Times New Roman" w:cs="Times New Roman"/>
                <w:color w:val="000000"/>
              </w:rPr>
              <w:t>Byte order ABCD</w:t>
            </w:r>
          </w:p>
        </w:tc>
      </w:tr>
      <w:tr w14:paraId="778FC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7CEDDAE3">
            <w:pPr>
              <w:jc w:val="center"/>
              <w:rPr>
                <w:rFonts w:ascii="Times New Roman" w:hAnsi="Times New Roman" w:cs="Times New Roman"/>
                <w:color w:val="000000"/>
              </w:rPr>
            </w:pPr>
            <w:r>
              <w:rPr>
                <w:rFonts w:ascii="Times New Roman" w:hAnsi="Times New Roman" w:cs="Times New Roman"/>
                <w:color w:val="000000"/>
              </w:rPr>
              <w:t>0003</w:t>
            </w:r>
          </w:p>
        </w:tc>
        <w:tc>
          <w:tcPr>
            <w:tcW w:w="1701" w:type="dxa"/>
          </w:tcPr>
          <w:p w14:paraId="6F0DD0F2">
            <w:pPr>
              <w:jc w:val="center"/>
              <w:rPr>
                <w:rFonts w:ascii="Times New Roman" w:hAnsi="Times New Roman" w:cs="Times New Roman"/>
                <w:color w:val="000000"/>
              </w:rPr>
            </w:pPr>
            <w:r>
              <w:rPr>
                <w:rFonts w:ascii="Times New Roman" w:hAnsi="Times New Roman" w:cs="Times New Roman"/>
                <w:color w:val="000000"/>
              </w:rPr>
              <w:t>(mR/h  * 1000)</w:t>
            </w:r>
          </w:p>
        </w:tc>
        <w:tc>
          <w:tcPr>
            <w:tcW w:w="1701" w:type="dxa"/>
          </w:tcPr>
          <w:p w14:paraId="4574FAED">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2D57B91E">
            <w:pPr>
              <w:jc w:val="center"/>
              <w:rPr>
                <w:rFonts w:ascii="Times New Roman" w:hAnsi="Times New Roman" w:cs="Times New Roman"/>
                <w:color w:val="000000"/>
              </w:rPr>
            </w:pPr>
            <w:r>
              <w:rPr>
                <w:rFonts w:ascii="Times New Roman" w:hAnsi="Times New Roman" w:cs="Times New Roman"/>
                <w:color w:val="000000"/>
              </w:rPr>
              <w:t>R</w:t>
            </w:r>
          </w:p>
        </w:tc>
        <w:tc>
          <w:tcPr>
            <w:tcW w:w="3261" w:type="dxa"/>
          </w:tcPr>
          <w:p w14:paraId="0579CAE3">
            <w:pPr>
              <w:jc w:val="center"/>
              <w:rPr>
                <w:rFonts w:ascii="Times New Roman" w:hAnsi="Times New Roman" w:cs="Times New Roman"/>
                <w:color w:val="000000"/>
              </w:rPr>
            </w:pPr>
            <w:r>
              <w:rPr>
                <w:rFonts w:ascii="Times New Roman" w:hAnsi="Times New Roman" w:cs="Times New Roman"/>
                <w:color w:val="000000"/>
              </w:rPr>
              <w:t>Byte order ABCD</w:t>
            </w:r>
          </w:p>
        </w:tc>
      </w:tr>
      <w:tr w14:paraId="7D47F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03DAE92D">
            <w:pPr>
              <w:jc w:val="center"/>
              <w:rPr>
                <w:rFonts w:ascii="Times New Roman" w:hAnsi="Times New Roman" w:cs="Times New Roman"/>
                <w:color w:val="000000"/>
              </w:rPr>
            </w:pPr>
            <w:r>
              <w:rPr>
                <w:rFonts w:ascii="Times New Roman" w:hAnsi="Times New Roman" w:cs="Times New Roman"/>
                <w:color w:val="000000"/>
              </w:rPr>
              <w:t>0005</w:t>
            </w:r>
          </w:p>
        </w:tc>
        <w:tc>
          <w:tcPr>
            <w:tcW w:w="1701" w:type="dxa"/>
          </w:tcPr>
          <w:p w14:paraId="4F67ACA2">
            <w:pPr>
              <w:jc w:val="center"/>
              <w:rPr>
                <w:rFonts w:ascii="Times New Roman" w:hAnsi="Times New Roman" w:cs="Times New Roman"/>
                <w:color w:val="000000"/>
              </w:rPr>
            </w:pPr>
            <w:r>
              <w:rPr>
                <w:rFonts w:ascii="Times New Roman" w:hAnsi="Times New Roman" w:cs="Times New Roman"/>
                <w:color w:val="000000"/>
              </w:rPr>
              <w:t>(CPS * 1000)</w:t>
            </w:r>
          </w:p>
        </w:tc>
        <w:tc>
          <w:tcPr>
            <w:tcW w:w="1701" w:type="dxa"/>
          </w:tcPr>
          <w:p w14:paraId="693E38E1">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33FFF98B">
            <w:pPr>
              <w:jc w:val="center"/>
              <w:rPr>
                <w:rFonts w:ascii="Times New Roman" w:hAnsi="Times New Roman" w:cs="Times New Roman"/>
                <w:color w:val="000000"/>
              </w:rPr>
            </w:pPr>
            <w:r>
              <w:rPr>
                <w:rFonts w:ascii="Times New Roman" w:hAnsi="Times New Roman" w:cs="Times New Roman"/>
                <w:color w:val="000000"/>
              </w:rPr>
              <w:t>R</w:t>
            </w:r>
          </w:p>
        </w:tc>
        <w:tc>
          <w:tcPr>
            <w:tcW w:w="3261" w:type="dxa"/>
          </w:tcPr>
          <w:p w14:paraId="758E9DBA">
            <w:pPr>
              <w:jc w:val="center"/>
              <w:rPr>
                <w:rFonts w:ascii="Times New Roman" w:hAnsi="Times New Roman" w:cs="Times New Roman"/>
                <w:color w:val="000000"/>
              </w:rPr>
            </w:pPr>
            <w:r>
              <w:rPr>
                <w:rFonts w:ascii="Times New Roman" w:hAnsi="Times New Roman" w:cs="Times New Roman"/>
                <w:color w:val="000000"/>
              </w:rPr>
              <w:t>Byte order ABCD</w:t>
            </w:r>
          </w:p>
        </w:tc>
      </w:tr>
      <w:tr w14:paraId="7D4A2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46EBCC32">
            <w:pPr>
              <w:jc w:val="center"/>
              <w:rPr>
                <w:rFonts w:ascii="Times New Roman" w:hAnsi="Times New Roman" w:cs="Times New Roman"/>
                <w:color w:val="000000"/>
              </w:rPr>
            </w:pPr>
            <w:r>
              <w:rPr>
                <w:rFonts w:ascii="Times New Roman" w:hAnsi="Times New Roman" w:cs="Times New Roman"/>
                <w:color w:val="000000"/>
              </w:rPr>
              <w:t>0013</w:t>
            </w:r>
          </w:p>
        </w:tc>
        <w:tc>
          <w:tcPr>
            <w:tcW w:w="1701" w:type="dxa"/>
          </w:tcPr>
          <w:p w14:paraId="1C51A456">
            <w:pPr>
              <w:jc w:val="center"/>
              <w:rPr>
                <w:rFonts w:ascii="Times New Roman" w:hAnsi="Times New Roman" w:cs="Times New Roman"/>
                <w:color w:val="000000"/>
              </w:rPr>
            </w:pPr>
            <w:r>
              <w:rPr>
                <w:rFonts w:ascii="Times New Roman" w:hAnsi="Times New Roman" w:cs="Times New Roman"/>
                <w:color w:val="000000"/>
              </w:rPr>
              <w:t>Smooth averaging</w:t>
            </w:r>
          </w:p>
        </w:tc>
        <w:tc>
          <w:tcPr>
            <w:tcW w:w="1701" w:type="dxa"/>
          </w:tcPr>
          <w:p w14:paraId="2E665A05">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0855155F">
            <w:pPr>
              <w:jc w:val="center"/>
              <w:rPr>
                <w:rFonts w:ascii="Times New Roman" w:hAnsi="Times New Roman" w:cs="Times New Roman"/>
                <w:color w:val="000000"/>
              </w:rPr>
            </w:pPr>
            <w:r>
              <w:rPr>
                <w:rFonts w:ascii="Times New Roman" w:hAnsi="Times New Roman" w:cs="Times New Roman"/>
                <w:color w:val="000000"/>
              </w:rPr>
              <w:t>R</w:t>
            </w:r>
          </w:p>
        </w:tc>
        <w:tc>
          <w:tcPr>
            <w:tcW w:w="3261" w:type="dxa"/>
          </w:tcPr>
          <w:p w14:paraId="076469A1">
            <w:pPr>
              <w:jc w:val="center"/>
              <w:rPr>
                <w:rFonts w:ascii="Times New Roman" w:hAnsi="Times New Roman" w:cs="Times New Roman"/>
                <w:color w:val="000000"/>
              </w:rPr>
            </w:pPr>
            <w:r>
              <w:rPr>
                <w:rFonts w:ascii="Times New Roman" w:hAnsi="Times New Roman" w:cs="Times New Roman"/>
                <w:color w:val="000000"/>
              </w:rPr>
              <w:t>Read radiation with slow averaging</w:t>
            </w:r>
          </w:p>
        </w:tc>
      </w:tr>
      <w:tr w14:paraId="5662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79146932">
            <w:pPr>
              <w:jc w:val="center"/>
              <w:rPr>
                <w:rFonts w:ascii="Times New Roman" w:hAnsi="Times New Roman" w:cs="Times New Roman"/>
                <w:color w:val="000000"/>
              </w:rPr>
            </w:pPr>
            <w:r>
              <w:rPr>
                <w:rFonts w:ascii="Times New Roman" w:hAnsi="Times New Roman" w:cs="Times New Roman"/>
                <w:color w:val="000000"/>
              </w:rPr>
              <w:t>0021</w:t>
            </w:r>
          </w:p>
        </w:tc>
        <w:tc>
          <w:tcPr>
            <w:tcW w:w="1701" w:type="dxa"/>
          </w:tcPr>
          <w:p w14:paraId="2885663A">
            <w:pPr>
              <w:jc w:val="center"/>
              <w:rPr>
                <w:rFonts w:ascii="Times New Roman" w:hAnsi="Times New Roman" w:cs="Times New Roman"/>
                <w:color w:val="000000"/>
              </w:rPr>
            </w:pPr>
            <w:r>
              <w:rPr>
                <w:rFonts w:ascii="Times New Roman" w:hAnsi="Times New Roman" w:cs="Times New Roman"/>
                <w:color w:val="000000"/>
              </w:rPr>
              <w:t>Device address</w:t>
            </w:r>
          </w:p>
        </w:tc>
        <w:tc>
          <w:tcPr>
            <w:tcW w:w="1701" w:type="dxa"/>
          </w:tcPr>
          <w:p w14:paraId="1084A93A">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4FA83E08">
            <w:pPr>
              <w:jc w:val="center"/>
              <w:rPr>
                <w:rFonts w:ascii="Times New Roman" w:hAnsi="Times New Roman" w:cs="Times New Roman"/>
                <w:color w:val="000000"/>
              </w:rPr>
            </w:pPr>
            <w:r>
              <w:rPr>
                <w:rFonts w:ascii="Times New Roman" w:hAnsi="Times New Roman" w:cs="Times New Roman"/>
                <w:color w:val="000000"/>
              </w:rPr>
              <w:t>R/W</w:t>
            </w:r>
          </w:p>
        </w:tc>
        <w:tc>
          <w:tcPr>
            <w:tcW w:w="3261" w:type="dxa"/>
          </w:tcPr>
          <w:p w14:paraId="6768612E">
            <w:pPr>
              <w:jc w:val="center"/>
              <w:rPr>
                <w:rFonts w:ascii="Times New Roman" w:hAnsi="Times New Roman" w:cs="Times New Roman"/>
                <w:color w:val="000000"/>
              </w:rPr>
            </w:pPr>
          </w:p>
        </w:tc>
      </w:tr>
      <w:tr w14:paraId="323E58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2BB14BBB">
            <w:pPr>
              <w:jc w:val="center"/>
              <w:rPr>
                <w:rFonts w:ascii="Times New Roman" w:hAnsi="Times New Roman" w:cs="Times New Roman"/>
                <w:color w:val="000000"/>
              </w:rPr>
            </w:pPr>
            <w:r>
              <w:rPr>
                <w:rFonts w:ascii="Times New Roman" w:hAnsi="Times New Roman" w:cs="Times New Roman"/>
                <w:color w:val="000000"/>
              </w:rPr>
              <w:t>0023</w:t>
            </w:r>
          </w:p>
        </w:tc>
        <w:tc>
          <w:tcPr>
            <w:tcW w:w="1701" w:type="dxa"/>
          </w:tcPr>
          <w:p w14:paraId="6CA24206">
            <w:pPr>
              <w:jc w:val="center"/>
              <w:rPr>
                <w:rFonts w:ascii="Times New Roman" w:hAnsi="Times New Roman" w:cs="Times New Roman"/>
                <w:color w:val="000000"/>
              </w:rPr>
            </w:pPr>
            <w:r>
              <w:rPr>
                <w:rFonts w:ascii="Times New Roman" w:hAnsi="Times New Roman" w:cs="Times New Roman"/>
                <w:color w:val="000000"/>
              </w:rPr>
              <w:t>Baud Rate</w:t>
            </w:r>
          </w:p>
        </w:tc>
        <w:tc>
          <w:tcPr>
            <w:tcW w:w="1701" w:type="dxa"/>
          </w:tcPr>
          <w:p w14:paraId="47B85330">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1B9CF4A3">
            <w:pPr>
              <w:jc w:val="center"/>
              <w:rPr>
                <w:rFonts w:ascii="Times New Roman" w:hAnsi="Times New Roman" w:cs="Times New Roman"/>
                <w:color w:val="000000"/>
              </w:rPr>
            </w:pPr>
            <w:r>
              <w:rPr>
                <w:rFonts w:ascii="Times New Roman" w:hAnsi="Times New Roman" w:cs="Times New Roman"/>
                <w:color w:val="000000"/>
              </w:rPr>
              <w:t>R/W</w:t>
            </w:r>
          </w:p>
        </w:tc>
        <w:tc>
          <w:tcPr>
            <w:tcW w:w="3261" w:type="dxa"/>
          </w:tcPr>
          <w:p w14:paraId="1ED878FF">
            <w:pPr>
              <w:jc w:val="center"/>
              <w:rPr>
                <w:rFonts w:ascii="Times New Roman" w:hAnsi="Times New Roman" w:cs="Times New Roman"/>
                <w:color w:val="000000"/>
              </w:rPr>
            </w:pPr>
            <w:r>
              <w:rPr>
                <w:rFonts w:ascii="Times New Roman" w:hAnsi="Times New Roman" w:cs="Times New Roman"/>
                <w:color w:val="000000"/>
              </w:rPr>
              <w:t>1=9600</w:t>
            </w:r>
          </w:p>
          <w:p w14:paraId="5DF75F9A">
            <w:pPr>
              <w:jc w:val="center"/>
              <w:rPr>
                <w:rFonts w:ascii="Times New Roman" w:hAnsi="Times New Roman" w:cs="Times New Roman"/>
                <w:color w:val="000000"/>
              </w:rPr>
            </w:pPr>
            <w:r>
              <w:rPr>
                <w:rFonts w:ascii="Times New Roman" w:hAnsi="Times New Roman" w:cs="Times New Roman"/>
                <w:color w:val="000000"/>
              </w:rPr>
              <w:t>2=19200</w:t>
            </w:r>
          </w:p>
        </w:tc>
      </w:tr>
      <w:tr w14:paraId="4A9C4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trPr>
        <w:tc>
          <w:tcPr>
            <w:tcW w:w="1384" w:type="dxa"/>
          </w:tcPr>
          <w:p w14:paraId="108A5F60">
            <w:pPr>
              <w:jc w:val="center"/>
              <w:rPr>
                <w:rFonts w:ascii="Times New Roman" w:hAnsi="Times New Roman" w:cs="Times New Roman"/>
                <w:color w:val="000000"/>
              </w:rPr>
            </w:pPr>
            <w:r>
              <w:rPr>
                <w:rFonts w:hint="eastAsia" w:ascii="Times New Roman" w:hAnsi="Times New Roman" w:cs="Times New Roman"/>
                <w:color w:val="000000"/>
              </w:rPr>
              <w:t>0029</w:t>
            </w:r>
          </w:p>
        </w:tc>
        <w:tc>
          <w:tcPr>
            <w:tcW w:w="1701" w:type="dxa"/>
          </w:tcPr>
          <w:p w14:paraId="1F8B78C0">
            <w:pPr>
              <w:jc w:val="center"/>
              <w:rPr>
                <w:rFonts w:ascii="Times New Roman" w:hAnsi="Times New Roman" w:cs="Times New Roman"/>
                <w:color w:val="000000"/>
              </w:rPr>
            </w:pPr>
            <w:r>
              <w:rPr>
                <w:rFonts w:ascii="Times New Roman" w:hAnsi="Times New Roman" w:cs="Times New Roman"/>
                <w:color w:val="000000"/>
              </w:rPr>
              <w:t>Alarm</w:t>
            </w:r>
          </w:p>
        </w:tc>
        <w:tc>
          <w:tcPr>
            <w:tcW w:w="1701" w:type="dxa"/>
          </w:tcPr>
          <w:p w14:paraId="718F5FA8">
            <w:pPr>
              <w:jc w:val="center"/>
              <w:rPr>
                <w:rFonts w:ascii="Times New Roman" w:hAnsi="Times New Roman" w:cs="Times New Roman"/>
                <w:color w:val="000000"/>
              </w:rPr>
            </w:pPr>
            <w:r>
              <w:rPr>
                <w:rFonts w:ascii="Times New Roman" w:hAnsi="Times New Roman" w:cs="Times New Roman"/>
                <w:color w:val="000000"/>
              </w:rPr>
              <w:t>Integer long</w:t>
            </w:r>
          </w:p>
        </w:tc>
        <w:tc>
          <w:tcPr>
            <w:tcW w:w="992" w:type="dxa"/>
          </w:tcPr>
          <w:p w14:paraId="6EB66637">
            <w:pPr>
              <w:jc w:val="center"/>
              <w:rPr>
                <w:rFonts w:ascii="Times New Roman" w:hAnsi="Times New Roman" w:cs="Times New Roman"/>
                <w:color w:val="000000"/>
              </w:rPr>
            </w:pPr>
            <w:r>
              <w:rPr>
                <w:rFonts w:ascii="Times New Roman" w:hAnsi="Times New Roman" w:cs="Times New Roman"/>
                <w:color w:val="000000"/>
              </w:rPr>
              <w:t>R/W</w:t>
            </w:r>
          </w:p>
        </w:tc>
        <w:tc>
          <w:tcPr>
            <w:tcW w:w="3261" w:type="dxa"/>
          </w:tcPr>
          <w:p w14:paraId="3A3FBC3A">
            <w:pPr>
              <w:jc w:val="center"/>
              <w:rPr>
                <w:rFonts w:ascii="Times New Roman" w:hAnsi="Times New Roman" w:cs="Times New Roman"/>
                <w:color w:val="000000" w:themeColor="text1"/>
                <w14:textFill>
                  <w14:solidFill>
                    <w14:schemeClr w14:val="tx1"/>
                  </w14:solidFill>
                </w14:textFill>
              </w:rPr>
            </w:pPr>
            <w:r>
              <w:rPr>
                <w:rFonts w:ascii="Times New Roman" w:hAnsi="Times New Roman" w:cs="Times New Roman"/>
                <w:color w:val="000000" w:themeColor="text1"/>
                <w14:textFill>
                  <w14:solidFill>
                    <w14:schemeClr w14:val="tx1"/>
                  </w14:solidFill>
                </w14:textFill>
              </w:rPr>
              <w:t>in (μSv/h  * 1000)</w:t>
            </w:r>
          </w:p>
        </w:tc>
      </w:tr>
    </w:tbl>
    <w:p w14:paraId="380D5349">
      <w:pPr>
        <w:rPr>
          <w:rFonts w:ascii="Times New Roman" w:hAnsi="Times New Roman" w:cs="Times New Roman"/>
          <w:color w:val="000000"/>
        </w:rPr>
      </w:pPr>
    </w:p>
    <w:p w14:paraId="7151F258">
      <w:pPr>
        <w:rPr>
          <w:rFonts w:ascii="Times New Roman" w:hAnsi="Times New Roman" w:cs="Times New Roman"/>
          <w:color w:val="000000"/>
        </w:rPr>
      </w:pPr>
      <w:r>
        <w:rPr>
          <w:rFonts w:ascii="Times New Roman" w:hAnsi="Times New Roman" w:cs="Times New Roman"/>
          <w:color w:val="000000"/>
        </w:rPr>
        <w:t>Device address may be read by command 0x11. Module replies with It’s own address.</w:t>
      </w:r>
    </w:p>
    <w:p w14:paraId="778A4B34">
      <w:r>
        <w:rPr>
          <w:rFonts w:ascii="Times New Roman" w:hAnsi="Times New Roman" w:cs="Times New Roman"/>
        </w:rPr>
        <w:t>Get dose rate command: 01 03 00 01 00 02 95 CB</w:t>
      </w:r>
    </w:p>
    <w:p w14:paraId="0847CB96">
      <w:r>
        <w:rPr>
          <w:rFonts w:hint="eastAsia" w:ascii="Times New Roman" w:hAnsi="Times New Roman" w:cs="Times New Roman"/>
        </w:rPr>
        <w:t>Module response: 01 03 04 FF 00 00 00 CA 27</w:t>
      </w:r>
    </w:p>
    <w:p w14:paraId="27541966">
      <w:r>
        <w:rPr>
          <w:rFonts w:hint="eastAsia" w:ascii="Times New Roman" w:hAnsi="Times New Roman" w:cs="Times New Roman"/>
        </w:rPr>
        <w:t>01 indicates that the module address is 1, 03 reads the register function code, 04 has a data length of 4 bytes, and the last two bytes are CRC check codes. In this example, the dose rate data is FF 00 00 00.</w:t>
      </w:r>
    </w:p>
    <w:p w14:paraId="4BEA817D">
      <w:pPr>
        <w:rPr>
          <w:rFonts w:hint="eastAsia" w:ascii="Times New Roman" w:hAnsi="Times New Roman" w:cs="Times New Roman"/>
        </w:rPr>
      </w:pPr>
      <w:r>
        <w:rPr>
          <w:rFonts w:hint="eastAsia" w:ascii="Times New Roman" w:hAnsi="Times New Roman" w:cs="Times New Roman"/>
        </w:rPr>
        <w:t>Analytical method: FF+(00× 0x100)+(00× 0x10000)+(00× 0x1000000) = 255 NSV/h = 0.255 μ SV/h.</w:t>
      </w:r>
    </w:p>
    <w:p w14:paraId="6ECF15D0">
      <w:r>
        <w:rPr>
          <w:rFonts w:hint="eastAsia" w:ascii="Times New Roman" w:hAnsi="Times New Roman" w:cs="Times New Roman"/>
        </w:rPr>
        <w:t>Module address 1 changed to 2,0106001500219cf.</w:t>
      </w:r>
    </w:p>
    <w:p w14:paraId="030B1BE3">
      <w:r>
        <w:rPr>
          <w:rFonts w:hint="eastAsia" w:ascii="Times New Roman" w:hAnsi="Times New Roman" w:cs="Times New Roman"/>
        </w:rPr>
        <w:t>The baud rate of the module is changed from 9600 to 19200,010600,170002b80f.</w:t>
      </w:r>
    </w:p>
    <w:p w14:paraId="6AD5F9B9">
      <w:r>
        <w:rPr>
          <w:rFonts w:hint="eastAsia" w:ascii="Times New Roman" w:hAnsi="Times New Roman" w:cs="Times New Roman"/>
        </w:rPr>
        <w:t>When the module address is unknown, get the module address fixing command: 00 11 C1 BC.</w:t>
      </w:r>
    </w:p>
    <w:p w14:paraId="0C4EE342">
      <w:r>
        <w:rPr>
          <w:rFonts w:hint="eastAsia" w:ascii="Times New Roman" w:hAnsi="Times New Roman" w:cs="Times New Roman"/>
        </w:rPr>
        <w:t>Module response: 02 11 04 02 00 00 00 00 CB F9, the first byte is the module address, that is, the module address is 02.</w:t>
      </w:r>
    </w:p>
    <w:p w14:paraId="125A95BD">
      <w:r>
        <w:rPr>
          <w:rFonts w:ascii="Times New Roman" w:hAnsi="Times New Roman" w:cs="Times New Roman"/>
        </w:rPr>
        <w:t>Acousto-optic alarm value setting command: for example, the module address is 1, the alarm value is set to 2.5μSv/h, 01 06 00 1D 09 C4 1E 0F, the module reply: 01 06 04 C4 09 00 00 17 54, 09 C4 is used when setting 2500, and the data byte order of the module reply is C4 09.</w:t>
      </w:r>
    </w:p>
    <w:p w14:paraId="55299519">
      <w:r>
        <w:rPr>
          <w:rFonts w:hint="eastAsia" w:ascii="Times New Roman" w:hAnsi="Times New Roman" w:cs="Times New Roman"/>
        </w:rPr>
        <w:t>Precautions:</w:t>
      </w:r>
    </w:p>
    <w:p w14:paraId="7A918AE4">
      <w:r>
        <w:rPr>
          <w:rFonts w:hint="eastAsia" w:ascii="Times New Roman" w:hAnsi="Times New Roman" w:cs="Times New Roman"/>
        </w:rPr>
        <w:t>1. The module is preheated for 3-120 seconds, the preheating time is not fixed, and the value is invalid. In the preheating stage, the module returns to the value of 010304F6fffFf8B.</w:t>
      </w:r>
    </w:p>
    <w:p w14:paraId="3EBB5EB4">
      <w:r>
        <w:rPr>
          <w:rFonts w:hint="eastAsia" w:ascii="Times New Roman" w:hAnsi="Times New Roman" w:cs="Times New Roman"/>
        </w:rPr>
        <w:t>2. The module does not support reading more than two registers continuously.</w:t>
      </w:r>
    </w:p>
    <w:p w14:paraId="6EC29786">
      <w:r>
        <w:rPr>
          <w:rFonts w:hint="eastAsia" w:ascii="Times New Roman" w:hAnsi="Times New Roman" w:cs="Times New Roman"/>
        </w:rPr>
        <w:t>3. In the process of using communication, there is a very low probability of communication failure. If 0x83 appears in the second byte of the data packet replied by the module, it means that the module failed to respond to the command, so we must make a judgment. We cannot simply judge the CRC check code to avoid parsing the wrong data.</w:t>
      </w:r>
    </w:p>
    <w:p w14:paraId="621B75D6">
      <w:pPr>
        <w:rPr>
          <w:rFonts w:hint="eastAsia" w:ascii="Times New Roman" w:hAnsi="Times New Roman" w:cs="Times New Roman"/>
        </w:rPr>
      </w:pPr>
      <w:r>
        <w:rPr>
          <w:rFonts w:hint="eastAsia" w:ascii="Times New Roman" w:hAnsi="Times New Roman" w:cs="Times New Roman"/>
        </w:rPr>
        <w:t>4. The 13th register is a smooth mode of dose rate, which is different from the first register in that the data is stable and the response is slow, so it is suitable for low dose rate environment.</w:t>
      </w:r>
    </w:p>
    <w:p w14:paraId="158CF037">
      <w:pPr>
        <w:rPr>
          <w:rFonts w:hint="eastAsia" w:ascii="Times New Roman" w:hAnsi="Times New Roman" w:cs="Times New Roman"/>
        </w:rPr>
      </w:pPr>
    </w:p>
    <w:p w14:paraId="398C99BA">
      <w:pPr>
        <w:rPr>
          <w:rFonts w:hint="eastAsia" w:ascii="Times New Roman" w:hAnsi="Times New Roman" w:cs="Times New Roman"/>
          <w:b/>
        </w:rPr>
      </w:pPr>
    </w:p>
    <w:p w14:paraId="18D561BF">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b/>
          <w:lang w:val="en-US" w:eastAsia="zh-CN"/>
        </w:rPr>
      </w:pPr>
      <w:r>
        <w:rPr>
          <w:rFonts w:hint="eastAsia" w:ascii="Times New Roman" w:hAnsi="Times New Roman" w:cs="Times New Roman"/>
          <w:b/>
          <w:lang w:val="en-US" w:eastAsia="zh-CN"/>
        </w:rPr>
        <w:t>VI. Matters needing attention</w:t>
      </w:r>
    </w:p>
    <w:p w14:paraId="0A8355F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rFonts w:hint="eastAsia" w:ascii="Times New Roman" w:hAnsi="Times New Roman" w:cs="Times New Roman"/>
        </w:rPr>
        <w:t>To keep the instrument in good condition, please use and read the following carefully.</w:t>
      </w:r>
    </w:p>
    <w:p w14:paraId="540916D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rFonts w:hint="eastAsia" w:ascii="Times New Roman" w:hAnsi="Times New Roman" w:cs="Times New Roman"/>
        </w:rPr>
        <w:t>Do not touch the instrument with radioactive surfaces or materials, so as not to pollute the RAD-S102X radiation sensor.</w:t>
      </w:r>
    </w:p>
    <w:p w14:paraId="6CF49EA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rFonts w:hint="eastAsia" w:ascii="Times New Roman" w:hAnsi="Times New Roman" w:cs="Times New Roman"/>
        </w:rPr>
        <w:t>Do not place the instrument at a high temperature above 50℃, and do not expose the instrument to the sun for a long time.</w:t>
      </w:r>
    </w:p>
    <w:p w14:paraId="3A0368A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rFonts w:hint="eastAsia" w:ascii="Times New Roman" w:hAnsi="Times New Roman" w:cs="Times New Roman"/>
        </w:rPr>
        <w:t>Don't wet the instrument, it will damage the circuit board and Geiger tube.</w:t>
      </w:r>
    </w:p>
    <w:p w14:paraId="03652F6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pPr>
      <w:r>
        <w:rPr>
          <w:rFonts w:hint="eastAsia" w:ascii="Times New Roman" w:hAnsi="Times New Roman" w:cs="Times New Roman"/>
        </w:rPr>
        <w:t>Don't put the instrument in the microwave oven, it can't detect microwaves, which may damage the instrument and the microwave oven.</w:t>
      </w:r>
    </w:p>
    <w:p w14:paraId="27109E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cs="Times New Roman"/>
        </w:rPr>
      </w:pPr>
      <w:r>
        <w:rPr>
          <w:rFonts w:hint="eastAsia" w:ascii="Times New Roman" w:hAnsi="Times New Roman" w:cs="Times New Roman"/>
        </w:rPr>
        <w:t>This instrument may be sensitive to radio frequency, microwave, static electricity and even electromagnetic field, but it can't work normally.</w:t>
      </w:r>
    </w:p>
    <w:p w14:paraId="57A06BA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cs="Times New Roman"/>
          <w:u w:val="none"/>
        </w:rPr>
      </w:pPr>
    </w:p>
    <w:p w14:paraId="33E3F1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b/>
          <w:sz w:val="21"/>
          <w:szCs w:val="21"/>
          <w:u w:val="none"/>
        </w:rPr>
      </w:pPr>
      <w:r>
        <w:rPr>
          <w:rFonts w:hint="eastAsia" w:ascii="Times New Roman" w:hAnsi="Times New Roman" w:cs="Times New Roman"/>
          <w:b/>
          <w:sz w:val="21"/>
          <w:szCs w:val="21"/>
          <w:u w:val="none"/>
          <w:lang w:val="en-US" w:eastAsia="zh-CN"/>
        </w:rPr>
        <w:t>VII. Warranty and after-sales service</w:t>
      </w:r>
    </w:p>
    <w:p w14:paraId="2B26FA7A">
      <w:pPr>
        <w:keepNext w:val="0"/>
        <w:keepLines w:val="0"/>
        <w:pageBreakBefore w:val="0"/>
        <w:widowControl w:val="0"/>
        <w:kinsoku/>
        <w:wordWrap/>
        <w:overflowPunct/>
        <w:topLinePunct w:val="0"/>
        <w:autoSpaceDE/>
        <w:autoSpaceDN/>
        <w:bidi w:val="0"/>
        <w:adjustRightInd/>
        <w:snapToGrid/>
        <w:spacing w:line="360" w:lineRule="auto"/>
        <w:ind w:left="360"/>
        <w:textAlignment w:val="auto"/>
        <w:rPr>
          <w:rFonts w:hint="eastAsia" w:ascii="Times New Roman" w:hAnsi="Times New Roman" w:cs="Times New Roman"/>
          <w:sz w:val="21"/>
          <w:szCs w:val="21"/>
        </w:rPr>
      </w:pPr>
      <w:r>
        <w:rPr>
          <w:rFonts w:hint="eastAsia" w:ascii="Times New Roman" w:hAnsi="Times New Roman" w:cs="Times New Roman"/>
          <w:sz w:val="21"/>
          <w:szCs w:val="21"/>
        </w:rPr>
        <w:t>Please discuss with the supplier where you buy the product for the related instructions of repair and use.</w:t>
      </w:r>
    </w:p>
    <w:p w14:paraId="793EF934">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Times New Roman" w:hAnsi="Times New Roman" w:cs="Times New Roman"/>
          <w:sz w:val="21"/>
          <w:szCs w:val="21"/>
        </w:rPr>
      </w:pPr>
      <w:r>
        <w:rPr>
          <w:rFonts w:hint="eastAsia" w:ascii="Times New Roman" w:hAnsi="Times New Roman" w:cs="Times New Roman"/>
          <w:sz w:val="21"/>
          <w:szCs w:val="21"/>
        </w:rPr>
        <w:t>Warranty validity period</w:t>
      </w:r>
    </w:p>
    <w:p w14:paraId="4793D4A1">
      <w:pPr>
        <w:keepNext w:val="0"/>
        <w:keepLines w:val="0"/>
        <w:pageBreakBefore w:val="0"/>
        <w:widowControl w:val="0"/>
        <w:kinsoku/>
        <w:wordWrap/>
        <w:overflowPunct/>
        <w:topLinePunct w:val="0"/>
        <w:autoSpaceDE/>
        <w:autoSpaceDN/>
        <w:bidi w:val="0"/>
        <w:adjustRightInd/>
        <w:snapToGrid/>
        <w:spacing w:line="360" w:lineRule="auto"/>
        <w:ind w:left="420"/>
        <w:textAlignment w:val="auto"/>
        <w:rPr>
          <w:rFonts w:hint="eastAsia" w:ascii="Times New Roman" w:hAnsi="Times New Roman" w:cs="Times New Roman"/>
          <w:sz w:val="21"/>
          <w:szCs w:val="21"/>
        </w:rPr>
      </w:pPr>
      <w:r>
        <w:rPr>
          <w:rFonts w:hint="eastAsia" w:ascii="Times New Roman" w:hAnsi="Times New Roman" w:cs="Times New Roman"/>
          <w:sz w:val="21"/>
          <w:szCs w:val="21"/>
        </w:rPr>
        <w:t>Within 12 months from the date of purchase.</w:t>
      </w:r>
    </w:p>
    <w:p w14:paraId="0A38742E">
      <w:pPr>
        <w:keepNext w:val="0"/>
        <w:keepLines w:val="0"/>
        <w:pageBreakBefore w:val="0"/>
        <w:widowControl w:val="0"/>
        <w:numPr>
          <w:ilvl w:val="0"/>
          <w:numId w:val="2"/>
        </w:numPr>
        <w:kinsoku/>
        <w:wordWrap/>
        <w:overflowPunct/>
        <w:topLinePunct w:val="0"/>
        <w:autoSpaceDE/>
        <w:autoSpaceDN/>
        <w:bidi w:val="0"/>
        <w:adjustRightInd/>
        <w:snapToGrid/>
        <w:spacing w:line="360" w:lineRule="auto"/>
        <w:textAlignment w:val="auto"/>
        <w:rPr>
          <w:rFonts w:hint="eastAsia" w:ascii="Times New Roman" w:hAnsi="Times New Roman" w:cs="Times New Roman"/>
          <w:sz w:val="21"/>
          <w:szCs w:val="21"/>
        </w:rPr>
      </w:pPr>
      <w:r>
        <w:rPr>
          <w:rFonts w:hint="eastAsia" w:ascii="Times New Roman" w:hAnsi="Times New Roman" w:cs="Times New Roman"/>
          <w:sz w:val="21"/>
          <w:szCs w:val="21"/>
        </w:rPr>
        <w:t>When maintenance is needed</w:t>
      </w:r>
    </w:p>
    <w:p w14:paraId="66F8F282">
      <w:pPr>
        <w:keepNext w:val="0"/>
        <w:keepLines w:val="0"/>
        <w:pageBreakBefore w:val="0"/>
        <w:widowControl w:val="0"/>
        <w:kinsoku/>
        <w:wordWrap/>
        <w:overflowPunct/>
        <w:topLinePunct w:val="0"/>
        <w:autoSpaceDE/>
        <w:autoSpaceDN/>
        <w:bidi w:val="0"/>
        <w:adjustRightInd/>
        <w:snapToGrid/>
        <w:spacing w:line="360" w:lineRule="auto"/>
        <w:ind w:left="420"/>
        <w:textAlignment w:val="auto"/>
        <w:rPr>
          <w:rFonts w:hint="eastAsia" w:ascii="Times New Roman" w:hAnsi="Times New Roman" w:cs="Times New Roman"/>
          <w:sz w:val="21"/>
          <w:szCs w:val="21"/>
          <w:lang w:eastAsia="zh-CN"/>
        </w:rPr>
      </w:pPr>
      <w:r>
        <w:rPr>
          <w:rFonts w:hint="eastAsia" w:ascii="Times New Roman" w:hAnsi="Times New Roman" w:cs="Times New Roman"/>
          <w:sz w:val="21"/>
          <w:szCs w:val="21"/>
        </w:rPr>
        <w:t>During the warranty period, the damage caused by man-made damage, natural disasters and improper use is not covered by the warranty.</w:t>
      </w:r>
    </w:p>
    <w:p w14:paraId="6FCB17D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imes New Roman" w:hAnsi="Times New Roman" w:cs="Times New Roman"/>
        </w:rPr>
      </w:pPr>
      <w:r>
        <w:rPr>
          <w:rFonts w:hint="eastAsia" w:ascii="Times New Roman" w:hAnsi="Times New Roman" w:cs="Times New Roman"/>
          <w:sz w:val="21"/>
          <w:szCs w:val="21"/>
        </w:rPr>
        <w:t>If it is out of the warranty period, it needs to be sent back to our company for inspection and quotation before it can be repaired and sent back.</w:t>
      </w:r>
    </w:p>
    <w:p w14:paraId="5C47DCD4">
      <w:pPr>
        <w:keepNext w:val="0"/>
        <w:keepLines w:val="0"/>
        <w:pageBreakBefore w:val="0"/>
        <w:widowControl w:val="0"/>
        <w:numPr>
          <w:ilvl w:val="0"/>
          <w:numId w:val="3"/>
        </w:numPr>
        <w:kinsoku/>
        <w:wordWrap/>
        <w:overflowPunct/>
        <w:topLinePunct w:val="0"/>
        <w:autoSpaceDE/>
        <w:autoSpaceDN/>
        <w:bidi w:val="0"/>
        <w:adjustRightInd/>
        <w:snapToGrid/>
        <w:spacing w:line="360" w:lineRule="auto"/>
        <w:textAlignment w:val="auto"/>
        <w:rPr>
          <w:rFonts w:hint="eastAsia" w:ascii="Times New Roman" w:hAnsi="Times New Roman" w:cs="Times New Roman"/>
          <w:szCs w:val="21"/>
        </w:rPr>
      </w:pPr>
      <w:r>
        <w:rPr>
          <w:rFonts w:hint="eastAsia" w:ascii="Times New Roman" w:hAnsi="Times New Roman" w:cs="Times New Roman"/>
          <w:szCs w:val="21"/>
        </w:rPr>
        <w:t>The right to interpret this manual belongs to Shenzhen Wanyi Technology Co., Ltd., official website.</w:t>
      </w:r>
      <w:r>
        <w:rPr>
          <w:rFonts w:hint="eastAsia" w:ascii="Times New Roman" w:hAnsi="Times New Roman" w:cs="Times New Roman"/>
          <w:szCs w:val="21"/>
        </w:rPr>
        <w:fldChar w:fldCharType="begin"/>
      </w:r>
      <w:r>
        <w:rPr>
          <w:rFonts w:hint="eastAsia" w:ascii="Times New Roman" w:hAnsi="Times New Roman" w:cs="Times New Roman"/>
          <w:szCs w:val="21"/>
        </w:rPr>
        <w:instrText xml:space="preserve"> HYPERLINK "http://www.wy1718.com" </w:instrText>
      </w:r>
      <w:r>
        <w:rPr>
          <w:rFonts w:hint="eastAsia" w:ascii="Times New Roman" w:hAnsi="Times New Roman" w:cs="Times New Roman"/>
          <w:szCs w:val="21"/>
        </w:rPr>
        <w:fldChar w:fldCharType="separate"/>
      </w:r>
      <w:r>
        <w:rPr>
          <w:rStyle w:val="9"/>
          <w:rFonts w:hint="eastAsia" w:ascii="Times New Roman" w:hAnsi="Times New Roman" w:cs="Times New Roman"/>
          <w:szCs w:val="21"/>
        </w:rPr>
        <w:t>http:www.onetestinc.com</w:t>
      </w:r>
      <w:bookmarkStart w:id="0" w:name="_Hlt12960978"/>
      <w:bookmarkEnd w:id="0"/>
      <w:bookmarkStart w:id="1" w:name="_Hlt12960979"/>
      <w:bookmarkEnd w:id="1"/>
      <w:r>
        <w:rPr>
          <w:rFonts w:hint="eastAsia" w:ascii="Times New Roman" w:hAnsi="Times New Roman" w:cs="Times New Roman"/>
          <w:szCs w:val="21"/>
        </w:rPr>
        <w:fldChar w:fldCharType="end"/>
      </w:r>
    </w:p>
    <w:p w14:paraId="67AD0C29">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imes New Roman" w:hAnsi="Times New Roman" w:cs="Times New Roman"/>
          <w:szCs w:val="21"/>
        </w:rPr>
      </w:pPr>
      <w:r>
        <w:rPr>
          <w:rFonts w:hint="eastAsia" w:ascii="Times New Roman" w:hAnsi="Times New Roman" w:cs="Times New Roman"/>
          <w:szCs w:val="21"/>
        </w:rPr>
        <w:t>Company headquarters address: Unit 601, Building B, Huaqiang Creative Industry Park, Guanguang Road, Guangming Street, Guangming New District, Shenzhen.</w:t>
      </w:r>
    </w:p>
    <w:p w14:paraId="37C4BD0B">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Times New Roman" w:hAnsi="Times New Roman" w:cs="Times New Roman"/>
          <w:szCs w:val="21"/>
        </w:rPr>
        <w:t>Hotline: 400-0755-383 Tel: 0755-29058210/11/12.</w:t>
      </w:r>
    </w:p>
    <w:p w14:paraId="48754100">
      <w:pPr>
        <w:ind w:firstLine="420" w:firstLineChars="200"/>
        <w:rPr>
          <w:rFonts w:hint="eastAsia" w:ascii="Times New Roman" w:hAnsi="Times New Roman" w:cs="Times New Roman"/>
        </w:rPr>
      </w:pPr>
    </w:p>
    <w:p w14:paraId="1211630A">
      <w:pPr>
        <w:rPr>
          <w:rFonts w:hint="eastAsia" w:ascii="Times New Roman" w:hAnsi="Times New Roman" w:cs="Times New Roman"/>
        </w:rPr>
      </w:pPr>
    </w:p>
    <w:sectPr>
      <w:headerReference r:id="rId3" w:type="default"/>
      <w:footerReference r:id="rId4" w:type="default"/>
      <w:pgSz w:w="11906" w:h="16838"/>
      <w:pgMar w:top="720" w:right="720" w:bottom="720" w:left="720" w:header="283" w:footer="283"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Regular">
    <w:altName w:val="黑体"/>
    <w:panose1 w:val="020B0500000000000000"/>
    <w:charset w:val="86"/>
    <w:family w:val="auto"/>
    <w:pitch w:val="default"/>
    <w:sig w:usb0="00000000" w:usb1="00000000" w:usb2="00000016" w:usb3="00000000" w:csb0="60060107" w:csb1="00000000"/>
  </w:font>
  <w:font w:name="KSOF28C8D4D9">
    <w:panose1 w:val="020B0500000000000000"/>
    <w:charset w:val="86"/>
    <w:family w:val="auto"/>
    <w:pitch w:val="default"/>
    <w:sig w:usb0="00000001" w:usb1="00000000" w:usb2="00000000"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2DA390">
    <w:pPr>
      <w:pStyle w:val="4"/>
      <w:jc w:val="center"/>
    </w:pPr>
    <w:r>
      <w:rPr>
        <w:rFonts w:hint="default" w:ascii="Calibri" w:hAnsi="Calibri" w:cs="Calibri"/>
        <w:sz w:val="18"/>
        <w:szCs w:val="18"/>
        <w:lang w:val="en-US" w:eastAsia="zh-CN"/>
      </w:rPr>
      <w:t>Address: Room 601, Block B, Building 1, Huaqiang Creative Industry Park, Guangming Street, Guangming New District, Shenzhen</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BCC442">
    <w:pPr>
      <w:pStyle w:val="4"/>
      <w:rPr>
        <w:rFonts w:hint="default" w:eastAsiaTheme="minorEastAsia"/>
        <w:lang w:val="en-US" w:eastAsia="zh-CN"/>
      </w:rPr>
    </w:pPr>
    <w:r>
      <w:rPr>
        <w:rFonts w:hint="eastAsia" w:ascii="宋体" w:hAnsi="宋体" w:eastAsia="宋体" w:cs="宋体"/>
        <w:b/>
        <w:bCs/>
        <w:sz w:val="21"/>
        <w:szCs w:val="21"/>
        <w:lang w:val="en-US" w:eastAsia="zh-CN"/>
      </w:rPr>
      <w:drawing>
        <wp:inline distT="0" distB="0" distL="114300" distR="114300">
          <wp:extent cx="1359535" cy="381635"/>
          <wp:effectExtent l="0" t="0" r="12065" b="18415"/>
          <wp:docPr id="8" name="图片 8" descr="Z:/美工/logo/86456.jpg86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Z:/美工/logo/86456.jpg86456"/>
                  <pic:cNvPicPr>
                    <a:picLocks noChangeAspect="1"/>
                  </pic:cNvPicPr>
                </pic:nvPicPr>
                <pic:blipFill>
                  <a:blip r:embed="rId1"/>
                  <a:srcRect t="21952" b="21952"/>
                  <a:stretch>
                    <a:fillRect/>
                  </a:stretch>
                </pic:blipFill>
                <pic:spPr>
                  <a:xfrm>
                    <a:off x="0" y="0"/>
                    <a:ext cx="1359535" cy="381635"/>
                  </a:xfrm>
                  <a:prstGeom prst="rect">
                    <a:avLst/>
                  </a:prstGeom>
                </pic:spPr>
              </pic:pic>
            </a:graphicData>
          </a:graphic>
        </wp:inline>
      </w:drawing>
    </w:r>
    <w:r>
      <w:rPr>
        <w:rFonts w:hint="default" w:ascii="Calibri" w:hAnsi="Calibri" w:eastAsia="宋体" w:cs="Calibri"/>
        <w:b/>
        <w:bCs/>
        <w:sz w:val="21"/>
        <w:szCs w:val="21"/>
        <w:lang w:val="en-US" w:eastAsia="zh-CN"/>
      </w:rPr>
      <w:t>Shenzhen Wanyi Technology Co., Ltd</w:t>
    </w:r>
    <w:r>
      <w:rPr>
        <w:rFonts w:hint="default" w:ascii="Calibri" w:hAnsi="Calibri" w:eastAsia="宋体" w:cs="Calibri"/>
        <w:b w:val="0"/>
        <w:bCs w:val="0"/>
        <w:sz w:val="21"/>
        <w:szCs w:val="21"/>
        <w:lang w:val="en-US" w:eastAsia="zh-CN"/>
      </w:rPr>
      <w:t xml:space="preserve"> </w:t>
    </w:r>
    <w:r>
      <w:rPr>
        <w:rFonts w:hint="default" w:ascii="Calibri" w:hAnsi="Calibri" w:eastAsia="宋体" w:cs="Calibri"/>
        <w:b/>
        <w:bCs/>
        <w:sz w:val="21"/>
        <w:szCs w:val="21"/>
        <w:lang w:val="en-US" w:eastAsia="zh-CN"/>
      </w:rPr>
      <w:t xml:space="preserve"> mailbox</w:t>
    </w:r>
    <w:r>
      <w:rPr>
        <w:rFonts w:hint="eastAsia" w:eastAsia="宋体" w:cs="Calibri"/>
        <w:b/>
        <w:bCs/>
        <w:sz w:val="21"/>
        <w:szCs w:val="21"/>
        <w:lang w:val="en-US" w:eastAsia="zh-CN"/>
      </w:rPr>
      <w:t>：</w:t>
    </w:r>
    <w:r>
      <w:rPr>
        <w:rFonts w:hint="default" w:ascii="Calibri" w:hAnsi="Calibri" w:eastAsia="宋体" w:cs="Calibri"/>
        <w:b w:val="0"/>
        <w:bCs w:val="0"/>
        <w:sz w:val="21"/>
        <w:szCs w:val="21"/>
        <w:lang w:val="en-US" w:eastAsia="zh-CN"/>
      </w:rPr>
      <w:t xml:space="preserve">wy0960@wy1718.com </w:t>
    </w:r>
    <w:r>
      <w:rPr>
        <w:rFonts w:hint="eastAsia" w:eastAsia="宋体" w:cs="Calibri"/>
        <w:b w:val="0"/>
        <w:bCs w:val="0"/>
        <w:sz w:val="21"/>
        <w:szCs w:val="21"/>
        <w:lang w:val="en-US" w:eastAsia="zh-CN"/>
      </w:rPr>
      <w:t xml:space="preserve"> </w:t>
    </w:r>
    <w:r>
      <w:rPr>
        <w:rFonts w:hint="default" w:ascii="Calibri" w:hAnsi="Calibri" w:eastAsia="宋体" w:cs="Calibri"/>
        <w:b/>
        <w:bCs/>
        <w:sz w:val="21"/>
        <w:szCs w:val="21"/>
        <w:lang w:val="en-US" w:eastAsia="zh-CN"/>
      </w:rPr>
      <w:t>website：</w:t>
    </w:r>
    <w:r>
      <w:rPr>
        <w:rFonts w:hint="default" w:ascii="Calibri" w:hAnsi="Calibri" w:eastAsia="宋体" w:cs="Calibri"/>
        <w:b w:val="0"/>
        <w:bCs w:val="0"/>
        <w:sz w:val="21"/>
        <w:szCs w:val="21"/>
        <w:lang w:val="en-US" w:eastAsia="zh-CN"/>
      </w:rPr>
      <w:t>cestsen.com</w:t>
    </w:r>
  </w:p>
  <w:p w14:paraId="4C3ADF7B">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DC771E"/>
    <w:multiLevelType w:val="multilevel"/>
    <w:tmpl w:val="14DC771E"/>
    <w:lvl w:ilvl="0" w:tentative="0">
      <w:start w:val="1"/>
      <w:numFmt w:val="bullet"/>
      <w:lvlText w:val=""/>
      <w:lvlJc w:val="left"/>
      <w:pPr>
        <w:tabs>
          <w:tab w:val="left" w:pos="420"/>
        </w:tabs>
        <w:ind w:left="420" w:hanging="420"/>
      </w:pPr>
      <w:rPr>
        <w:rFonts w:hint="default" w:ascii="Wingdings" w:hAnsi="Wingdings"/>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467F1D48"/>
    <w:multiLevelType w:val="singleLevel"/>
    <w:tmpl w:val="467F1D48"/>
    <w:lvl w:ilvl="0" w:tentative="0">
      <w:start w:val="1"/>
      <w:numFmt w:val="bullet"/>
      <w:lvlText w:val=""/>
      <w:lvlJc w:val="left"/>
      <w:pPr>
        <w:ind w:left="420" w:hanging="420"/>
      </w:pPr>
      <w:rPr>
        <w:rFonts w:hint="default" w:ascii="Wingdings" w:hAnsi="Wingdings"/>
      </w:rPr>
    </w:lvl>
  </w:abstractNum>
  <w:abstractNum w:abstractNumId="2">
    <w:nsid w:val="780ED23B"/>
    <w:multiLevelType w:val="singleLevel"/>
    <w:tmpl w:val="780ED23B"/>
    <w:lvl w:ilvl="0" w:tentative="0">
      <w:start w:val="4"/>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dlMDY5NGM5OTdkZGZlZjQ2NDllMjA0MGQwYTJjNDIifQ=="/>
  </w:docVars>
  <w:rsids>
    <w:rsidRoot w:val="15D35FEA"/>
    <w:rsid w:val="0061705E"/>
    <w:rsid w:val="00746F37"/>
    <w:rsid w:val="00B21337"/>
    <w:rsid w:val="00C055A2"/>
    <w:rsid w:val="00D71CC6"/>
    <w:rsid w:val="015C210A"/>
    <w:rsid w:val="03382815"/>
    <w:rsid w:val="061D614D"/>
    <w:rsid w:val="07826603"/>
    <w:rsid w:val="08251DBC"/>
    <w:rsid w:val="0A3B737E"/>
    <w:rsid w:val="0BA34368"/>
    <w:rsid w:val="0BDF4146"/>
    <w:rsid w:val="0C6E75BD"/>
    <w:rsid w:val="0DE3018E"/>
    <w:rsid w:val="0EFB097D"/>
    <w:rsid w:val="0FF766BD"/>
    <w:rsid w:val="13417C7C"/>
    <w:rsid w:val="15BC0B46"/>
    <w:rsid w:val="15D35FEA"/>
    <w:rsid w:val="15E041E2"/>
    <w:rsid w:val="19C514B1"/>
    <w:rsid w:val="1CB379CE"/>
    <w:rsid w:val="1E24735D"/>
    <w:rsid w:val="214A192E"/>
    <w:rsid w:val="231517C9"/>
    <w:rsid w:val="23684C3A"/>
    <w:rsid w:val="241E064C"/>
    <w:rsid w:val="27514614"/>
    <w:rsid w:val="299361AE"/>
    <w:rsid w:val="2A763CC3"/>
    <w:rsid w:val="2ED409D9"/>
    <w:rsid w:val="2FF0737E"/>
    <w:rsid w:val="30BF374F"/>
    <w:rsid w:val="33E4668E"/>
    <w:rsid w:val="346C2382"/>
    <w:rsid w:val="35DA63E2"/>
    <w:rsid w:val="36064819"/>
    <w:rsid w:val="366D563E"/>
    <w:rsid w:val="36E920CC"/>
    <w:rsid w:val="37514176"/>
    <w:rsid w:val="3AEB75D2"/>
    <w:rsid w:val="3B9168F0"/>
    <w:rsid w:val="3CD1342D"/>
    <w:rsid w:val="412F272E"/>
    <w:rsid w:val="44C20E6F"/>
    <w:rsid w:val="45E32307"/>
    <w:rsid w:val="45FE0E8D"/>
    <w:rsid w:val="47216603"/>
    <w:rsid w:val="47CF39D5"/>
    <w:rsid w:val="4926076E"/>
    <w:rsid w:val="49327384"/>
    <w:rsid w:val="4963626B"/>
    <w:rsid w:val="4AFB3B1F"/>
    <w:rsid w:val="4BBE661B"/>
    <w:rsid w:val="4BC73AC8"/>
    <w:rsid w:val="4FFB0767"/>
    <w:rsid w:val="50DF428B"/>
    <w:rsid w:val="510061C3"/>
    <w:rsid w:val="572139EE"/>
    <w:rsid w:val="5779112C"/>
    <w:rsid w:val="57CF2152"/>
    <w:rsid w:val="5D5C0D3D"/>
    <w:rsid w:val="5DEB6450"/>
    <w:rsid w:val="6001579A"/>
    <w:rsid w:val="62380A47"/>
    <w:rsid w:val="62A31875"/>
    <w:rsid w:val="67D86E2F"/>
    <w:rsid w:val="68286368"/>
    <w:rsid w:val="68310535"/>
    <w:rsid w:val="6AE247D9"/>
    <w:rsid w:val="6B9058D4"/>
    <w:rsid w:val="6BCB3D0A"/>
    <w:rsid w:val="6C5D5856"/>
    <w:rsid w:val="6CC13FD7"/>
    <w:rsid w:val="6EF42AB9"/>
    <w:rsid w:val="700546DE"/>
    <w:rsid w:val="71AE5146"/>
    <w:rsid w:val="733753AB"/>
    <w:rsid w:val="7A2C3F15"/>
    <w:rsid w:val="7F7D0BB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Theme="minorEastAsia" w:cstheme="minorBidi"/>
      <w:kern w:val="2"/>
      <w:sz w:val="21"/>
      <w:szCs w:val="22"/>
      <w:lang w:val="en-US" w:eastAsia="zh-CN" w:bidi="ar-SA"/>
    </w:rPr>
  </w:style>
  <w:style w:type="character" w:default="1" w:styleId="7">
    <w:name w:val="Default Paragraph Font"/>
    <w:autoRedefine/>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qFormat/>
    <w:uiPriority w:val="0"/>
    <w:rPr>
      <w:sz w:val="18"/>
      <w:szCs w:val="18"/>
    </w:rPr>
  </w:style>
  <w:style w:type="paragraph" w:styleId="3">
    <w:name w:val="footer"/>
    <w:basedOn w:val="1"/>
    <w:autoRedefine/>
    <w:qFormat/>
    <w:uiPriority w:val="0"/>
    <w:pPr>
      <w:tabs>
        <w:tab w:val="center" w:pos="4153"/>
        <w:tab w:val="right" w:pos="8306"/>
      </w:tabs>
      <w:adjustRightInd w:val="0"/>
      <w:snapToGrid w:val="0"/>
      <w:spacing w:line="360" w:lineRule="atLeast"/>
      <w:jc w:val="left"/>
      <w:textAlignment w:val="baseline"/>
    </w:pPr>
    <w:rPr>
      <w:rFonts w:ascii="Times New Roman" w:hAnsi="Times New Roman"/>
      <w:kern w:val="0"/>
      <w:sz w:val="18"/>
      <w:szCs w:val="18"/>
    </w:rPr>
  </w:style>
  <w:style w:type="paragraph" w:styleId="4">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6">
    <w:name w:val="Table Grid"/>
    <w:basedOn w:val="5"/>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autoRedefine/>
    <w:qFormat/>
    <w:uiPriority w:val="0"/>
  </w:style>
  <w:style w:type="character" w:styleId="9">
    <w:name w:val="Hyperlink"/>
    <w:basedOn w:val="7"/>
    <w:autoRedefine/>
    <w:qFormat/>
    <w:uiPriority w:val="0"/>
    <w:rPr>
      <w:color w:val="0000FF"/>
      <w:u w:val="single"/>
    </w:rPr>
  </w:style>
  <w:style w:type="paragraph" w:customStyle="1" w:styleId="10">
    <w:name w:val="列出段落1"/>
    <w:basedOn w:val="1"/>
    <w:autoRedefine/>
    <w:qFormat/>
    <w:uiPriority w:val="0"/>
    <w:pPr>
      <w:ind w:firstLine="420" w:firstLineChars="200"/>
    </w:pPr>
  </w:style>
  <w:style w:type="character" w:customStyle="1" w:styleId="11">
    <w:name w:val="font21"/>
    <w:basedOn w:val="7"/>
    <w:autoRedefine/>
    <w:qFormat/>
    <w:uiPriority w:val="0"/>
    <w:rPr>
      <w:rFonts w:hint="eastAsia" w:ascii="宋体" w:hAnsi="宋体" w:eastAsia="宋体" w:cs="宋体"/>
      <w:color w:val="000000"/>
      <w:sz w:val="22"/>
      <w:szCs w:val="22"/>
      <w:u w:val="none"/>
      <w:vertAlign w:val="superscript"/>
    </w:rPr>
  </w:style>
  <w:style w:type="character" w:customStyle="1" w:styleId="12">
    <w:name w:val="font01"/>
    <w:basedOn w:val="7"/>
    <w:autoRedefine/>
    <w:qFormat/>
    <w:uiPriority w:val="0"/>
    <w:rPr>
      <w:rFonts w:hint="eastAsia" w:ascii="宋体" w:hAnsi="宋体" w:eastAsia="宋体" w:cs="宋体"/>
      <w:color w:val="000000"/>
      <w:sz w:val="22"/>
      <w:szCs w:val="22"/>
      <w:u w:val="none"/>
    </w:rPr>
  </w:style>
  <w:style w:type="character" w:customStyle="1" w:styleId="13">
    <w:name w:val="批注框文本 Char"/>
    <w:basedOn w:val="7"/>
    <w:link w:val="2"/>
    <w:autoRedefine/>
    <w:qFormat/>
    <w:uiPriority w:val="0"/>
    <w:rPr>
      <w:rFonts w:ascii="Calibri" w:hAnsi="Calibri" w:eastAsiaTheme="minorEastAsia" w:cstheme="minorBidi"/>
      <w:kern w:val="2"/>
      <w:sz w:val="18"/>
      <w:szCs w:val="18"/>
    </w:rPr>
  </w:style>
  <w:style w:type="paragraph" w:styleId="14">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1036</Words>
  <Characters>5224</Characters>
  <Lines>14</Lines>
  <Paragraphs>4</Paragraphs>
  <TotalTime>7</TotalTime>
  <ScaleCrop>false</ScaleCrop>
  <LinksUpToDate>false</LinksUpToDate>
  <CharactersWithSpaces>6159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2017-09-21T03:37:00Z</dcterms:created>
  <dc:creator>win10</dc:creator>
  <cp:lastModifiedBy>ctrl</cp:lastModifiedBy>
  <cp:lastPrinted>2023-01-12T02:32:00Z</cp:lastPrinted>
  <dcterms:modified xsi:type="dcterms:W3CDTF">2025-12-08T07:15:56Z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836BBF87882C40CDB035F0E87C3BEFAC_13</vt:lpwstr>
  </property>
  <property fmtid="{D5CDD505-2E9C-101B-9397-08002B2CF9AE}" pid="4" name="KSOTemplateDocerSaveRecord">
    <vt:lpwstr>eyJoZGlkIjoiMGUyMjM0NjdjMzViYmYwY2VhZDRjYWRiYWU1MGM1NTUiLCJ1c2VySWQiOiI0NTkzMTYxMDQifQ==</vt:lpwstr>
  </property>
</Properties>
</file>